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3D5" w:rsidRDefault="001453D5">
      <w:pPr>
        <w:jc w:val="both"/>
        <w:rPr>
          <w:b/>
          <w:bCs/>
          <w:sz w:val="20"/>
          <w:szCs w:val="20"/>
        </w:rPr>
      </w:pPr>
    </w:p>
    <w:p w:rsidR="001453D5" w:rsidRDefault="001453D5">
      <w:pPr>
        <w:jc w:val="center"/>
        <w:rPr>
          <w:sz w:val="20"/>
          <w:szCs w:val="20"/>
        </w:rPr>
      </w:pPr>
    </w:p>
    <w:p w:rsidR="001453D5" w:rsidRDefault="00D95248">
      <w:pPr>
        <w:spacing w:after="160" w:line="279" w:lineRule="auto"/>
        <w:rPr>
          <w:b/>
          <w:bCs/>
          <w:sz w:val="20"/>
          <w:szCs w:val="20"/>
        </w:rPr>
      </w:pPr>
      <w:bookmarkStart w:id="0" w:name="_GoBack"/>
      <w:r>
        <w:rPr>
          <w:b/>
          <w:bCs/>
          <w:sz w:val="20"/>
          <w:szCs w:val="20"/>
        </w:rPr>
        <w:t>Tabela specifikacij</w:t>
      </w:r>
    </w:p>
    <w:bookmarkEnd w:id="0"/>
    <w:tbl>
      <w:tblPr>
        <w:tblStyle w:val="afffb"/>
        <w:tblW w:w="920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3929"/>
        <w:gridCol w:w="3930"/>
      </w:tblGrid>
      <w:tr w:rsidR="001453D5" w:rsidTr="001453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1453D5" w:rsidRDefault="001453D5">
            <w:pPr>
              <w:rPr>
                <w:sz w:val="20"/>
                <w:szCs w:val="20"/>
              </w:rPr>
            </w:pPr>
          </w:p>
        </w:tc>
        <w:tc>
          <w:tcPr>
            <w:tcW w:w="3929" w:type="dxa"/>
            <w:shd w:val="clear" w:color="auto" w:fill="000000"/>
          </w:tcPr>
          <w:p w:rsidR="001453D5" w:rsidRDefault="00D9524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FFFFFF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FFFFFF"/>
                <w:sz w:val="20"/>
                <w:szCs w:val="20"/>
              </w:rPr>
              <w:t>Galaxy</w:t>
            </w:r>
            <w:proofErr w:type="spellEnd"/>
            <w:r>
              <w:rPr>
                <w:rFonts w:ascii="Calibri" w:eastAsia="Calibri" w:hAnsi="Calibri" w:cs="Calibri"/>
                <w:color w:val="FFFFFF"/>
                <w:sz w:val="20"/>
                <w:szCs w:val="20"/>
              </w:rPr>
              <w:t xml:space="preserve"> A57 5G</w:t>
            </w:r>
          </w:p>
        </w:tc>
        <w:tc>
          <w:tcPr>
            <w:tcW w:w="3930" w:type="dxa"/>
            <w:shd w:val="clear" w:color="auto" w:fill="000000"/>
          </w:tcPr>
          <w:p w:rsidR="001453D5" w:rsidRDefault="00D9524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FFFFFF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FFFFFF"/>
                <w:sz w:val="20"/>
                <w:szCs w:val="20"/>
              </w:rPr>
              <w:t>Galaxy</w:t>
            </w:r>
            <w:proofErr w:type="spellEnd"/>
            <w:r>
              <w:rPr>
                <w:rFonts w:ascii="Calibri" w:eastAsia="Calibri" w:hAnsi="Calibri" w:cs="Calibri"/>
                <w:color w:val="FFFFFF"/>
                <w:sz w:val="20"/>
                <w:szCs w:val="20"/>
              </w:rPr>
              <w:t xml:space="preserve"> A37 5G</w:t>
            </w:r>
          </w:p>
        </w:tc>
      </w:tr>
      <w:tr w:rsidR="001453D5" w:rsidTr="001453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Merge w:val="restart"/>
          </w:tcPr>
          <w:p w:rsidR="001453D5" w:rsidRDefault="00D952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Zaslon</w:t>
            </w:r>
            <w:r>
              <w:rPr>
                <w:sz w:val="20"/>
                <w:szCs w:val="20"/>
                <w:vertAlign w:val="superscript"/>
              </w:rPr>
              <w:footnoteReference w:id="1"/>
            </w:r>
          </w:p>
        </w:tc>
        <w:tc>
          <w:tcPr>
            <w:tcW w:w="3929" w:type="dxa"/>
          </w:tcPr>
          <w:p w:rsidR="001453D5" w:rsidRDefault="00D952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cm (6,7 palcev) FHD +</w:t>
            </w:r>
          </w:p>
          <w:p w:rsidR="001453D5" w:rsidRDefault="00D952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* Merjeno diagonalno je velikost zaslona 17 cm (6,7 palcev) v polnem pravokotniku in 16,7 cm (6,6 palcev) ob upoštevanju zaobljenih robov. Dejanska vidna površina je manjša zaradi zaobljenih robov in odprtine za kamero.</w:t>
            </w:r>
          </w:p>
        </w:tc>
        <w:tc>
          <w:tcPr>
            <w:tcW w:w="3930" w:type="dxa"/>
          </w:tcPr>
          <w:p w:rsidR="001453D5" w:rsidRDefault="00D952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cm (6,7 palcev) FHD +</w:t>
            </w:r>
          </w:p>
          <w:p w:rsidR="001453D5" w:rsidRDefault="00D952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* Merjeno d</w:t>
            </w:r>
            <w:r>
              <w:rPr>
                <w:i/>
                <w:iCs/>
                <w:sz w:val="20"/>
                <w:szCs w:val="20"/>
              </w:rPr>
              <w:t>iagonalno je velikost zaslona 17 cm (6,7 palcev) v polnem pravokotniku in 16,7 cm (6,6 palcev) ob upoštevanju zaobljenih robov. Dejanska vidna površina je manjša zaradi zaobljenih robov in odprtine za kamero.</w:t>
            </w:r>
          </w:p>
        </w:tc>
      </w:tr>
      <w:tr w:rsidR="001453D5" w:rsidTr="001453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Merge/>
          </w:tcPr>
          <w:p w:rsidR="001453D5" w:rsidRDefault="001453D5">
            <w:pPr>
              <w:widowControl w:val="0"/>
              <w:spacing w:line="276" w:lineRule="auto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929" w:type="dxa"/>
          </w:tcPr>
          <w:p w:rsidR="001453D5" w:rsidRDefault="00D952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Zaslon Super AMOLED +</w:t>
            </w:r>
            <w:r>
              <w:rPr>
                <w:sz w:val="20"/>
                <w:szCs w:val="20"/>
              </w:rPr>
              <w:br/>
              <w:t xml:space="preserve">Hitrost osveževanja do </w:t>
            </w:r>
            <w:r>
              <w:rPr>
                <w:sz w:val="20"/>
                <w:szCs w:val="20"/>
              </w:rPr>
              <w:t>120 Hz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Vision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Booster</w:t>
            </w:r>
            <w:proofErr w:type="spellEnd"/>
          </w:p>
        </w:tc>
        <w:tc>
          <w:tcPr>
            <w:tcW w:w="3930" w:type="dxa"/>
          </w:tcPr>
          <w:p w:rsidR="001453D5" w:rsidRDefault="00D952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Zaslon Super AMOLED</w:t>
            </w:r>
            <w:r>
              <w:rPr>
                <w:sz w:val="20"/>
                <w:szCs w:val="20"/>
              </w:rPr>
              <w:br/>
              <w:t>Hitrost osveževanja do 120 Hz</w:t>
            </w:r>
          </w:p>
          <w:p w:rsidR="001453D5" w:rsidRDefault="00D952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Vision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Booster</w:t>
            </w:r>
            <w:proofErr w:type="spellEnd"/>
          </w:p>
        </w:tc>
      </w:tr>
      <w:tr w:rsidR="001453D5" w:rsidTr="001453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1453D5" w:rsidRDefault="00D952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Mere in teža</w:t>
            </w:r>
          </w:p>
        </w:tc>
        <w:tc>
          <w:tcPr>
            <w:tcW w:w="3929" w:type="dxa"/>
          </w:tcPr>
          <w:p w:rsidR="001453D5" w:rsidRDefault="00D952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161,5 x 76,8 x 6,9 mm, 179 g</w:t>
            </w:r>
          </w:p>
        </w:tc>
        <w:tc>
          <w:tcPr>
            <w:tcW w:w="3930" w:type="dxa"/>
          </w:tcPr>
          <w:p w:rsidR="001453D5" w:rsidRDefault="00D952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162,9 x 78,2 x 7,4 mm, 196 g</w:t>
            </w:r>
          </w:p>
        </w:tc>
      </w:tr>
      <w:tr w:rsidR="001453D5" w:rsidTr="001453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1453D5" w:rsidRDefault="00D952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Kamera</w:t>
            </w:r>
          </w:p>
        </w:tc>
        <w:tc>
          <w:tcPr>
            <w:tcW w:w="3929" w:type="dxa"/>
          </w:tcPr>
          <w:p w:rsidR="001453D5" w:rsidRDefault="00D952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 MP </w:t>
            </w:r>
            <w:proofErr w:type="spellStart"/>
            <w:r>
              <w:rPr>
                <w:sz w:val="20"/>
                <w:szCs w:val="20"/>
              </w:rPr>
              <w:t>ultraširokokotna</w:t>
            </w:r>
            <w:proofErr w:type="spellEnd"/>
            <w:r>
              <w:rPr>
                <w:sz w:val="20"/>
                <w:szCs w:val="20"/>
              </w:rPr>
              <w:t xml:space="preserve"> kamera</w:t>
            </w:r>
          </w:p>
          <w:p w:rsidR="001453D5" w:rsidRDefault="00D95248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  <w:p w:rsidR="001453D5" w:rsidRDefault="00D952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MP širokokotna kamera</w:t>
            </w:r>
          </w:p>
          <w:p w:rsidR="001453D5" w:rsidRDefault="00D95248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F1,8</w:t>
            </w:r>
          </w:p>
          <w:p w:rsidR="001453D5" w:rsidRDefault="00D952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MP makro kamera</w:t>
            </w:r>
          </w:p>
          <w:p w:rsidR="001453D5" w:rsidRDefault="00D95248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F2,4</w:t>
            </w:r>
          </w:p>
          <w:p w:rsidR="001453D5" w:rsidRDefault="00D952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MP sprednja kamera</w:t>
            </w:r>
          </w:p>
          <w:p w:rsidR="001453D5" w:rsidRDefault="00D95248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</w:tc>
        <w:tc>
          <w:tcPr>
            <w:tcW w:w="3930" w:type="dxa"/>
          </w:tcPr>
          <w:p w:rsidR="001453D5" w:rsidRDefault="00D952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 MP </w:t>
            </w:r>
            <w:proofErr w:type="spellStart"/>
            <w:r>
              <w:rPr>
                <w:sz w:val="20"/>
                <w:szCs w:val="20"/>
              </w:rPr>
              <w:t>ultraširokokotna</w:t>
            </w:r>
            <w:proofErr w:type="spellEnd"/>
            <w:r>
              <w:rPr>
                <w:sz w:val="20"/>
                <w:szCs w:val="20"/>
              </w:rPr>
              <w:t xml:space="preserve"> kamera</w:t>
            </w:r>
          </w:p>
          <w:p w:rsidR="001453D5" w:rsidRDefault="00D95248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  <w:p w:rsidR="001453D5" w:rsidRDefault="00D952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MP širokokotna kamera</w:t>
            </w:r>
          </w:p>
          <w:p w:rsidR="001453D5" w:rsidRDefault="00D95248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F1,8</w:t>
            </w:r>
          </w:p>
          <w:p w:rsidR="001453D5" w:rsidRDefault="00D952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MP makro kamera</w:t>
            </w:r>
          </w:p>
          <w:p w:rsidR="001453D5" w:rsidRDefault="00D95248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F2,4</w:t>
            </w:r>
          </w:p>
          <w:p w:rsidR="001453D5" w:rsidRDefault="00D952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MP sprednja kamera</w:t>
            </w:r>
          </w:p>
          <w:p w:rsidR="001453D5" w:rsidRDefault="00D95248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</w:tc>
      </w:tr>
      <w:tr w:rsidR="001453D5" w:rsidTr="001453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1453D5" w:rsidRDefault="00D952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Spomin in pomnilnik</w:t>
            </w:r>
            <w:r>
              <w:rPr>
                <w:sz w:val="20"/>
                <w:szCs w:val="20"/>
                <w:vertAlign w:val="superscript"/>
              </w:rPr>
              <w:footnoteReference w:id="2"/>
            </w:r>
          </w:p>
        </w:tc>
        <w:tc>
          <w:tcPr>
            <w:tcW w:w="3929" w:type="dxa"/>
          </w:tcPr>
          <w:p w:rsidR="001453D5" w:rsidRDefault="00D952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 + 128 GB </w:t>
            </w:r>
            <w:r>
              <w:rPr>
                <w:sz w:val="20"/>
                <w:szCs w:val="20"/>
              </w:rPr>
              <w:br/>
              <w:t>8 + 256 GB</w:t>
            </w:r>
            <w:r>
              <w:rPr>
                <w:sz w:val="20"/>
                <w:szCs w:val="20"/>
              </w:rPr>
              <w:br/>
              <w:t>12 + 256 GB</w:t>
            </w:r>
            <w:r>
              <w:rPr>
                <w:sz w:val="20"/>
                <w:szCs w:val="20"/>
              </w:rPr>
              <w:br/>
              <w:t>12 + 512 GB</w:t>
            </w:r>
          </w:p>
        </w:tc>
        <w:tc>
          <w:tcPr>
            <w:tcW w:w="3930" w:type="dxa"/>
          </w:tcPr>
          <w:p w:rsidR="001453D5" w:rsidRDefault="00D952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+ 128 GB</w:t>
            </w:r>
            <w:r>
              <w:rPr>
                <w:sz w:val="20"/>
                <w:szCs w:val="20"/>
              </w:rPr>
              <w:br/>
              <w:t>8 + 128 GB</w:t>
            </w:r>
            <w:r>
              <w:rPr>
                <w:sz w:val="20"/>
                <w:szCs w:val="20"/>
              </w:rPr>
              <w:br/>
              <w:t>8 + 256 GB</w:t>
            </w:r>
            <w:r>
              <w:rPr>
                <w:sz w:val="20"/>
                <w:szCs w:val="20"/>
              </w:rPr>
              <w:br/>
              <w:t>12 + 256 GB</w:t>
            </w:r>
          </w:p>
        </w:tc>
      </w:tr>
      <w:tr w:rsidR="001453D5" w:rsidTr="001453D5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Merge w:val="restart"/>
          </w:tcPr>
          <w:p w:rsidR="001453D5" w:rsidRDefault="00D952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Baterija</w:t>
            </w:r>
          </w:p>
        </w:tc>
        <w:tc>
          <w:tcPr>
            <w:tcW w:w="7859" w:type="dxa"/>
            <w:gridSpan w:val="2"/>
          </w:tcPr>
          <w:p w:rsidR="001453D5" w:rsidRDefault="00D952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5000 </w:t>
            </w:r>
            <w:proofErr w:type="spellStart"/>
            <w:r>
              <w:rPr>
                <w:sz w:val="20"/>
                <w:szCs w:val="20"/>
              </w:rPr>
              <w:t>mAh</w:t>
            </w:r>
            <w:proofErr w:type="spellEnd"/>
            <w:r>
              <w:rPr>
                <w:sz w:val="20"/>
                <w:szCs w:val="20"/>
              </w:rPr>
              <w:t xml:space="preserve"> (tipična)</w:t>
            </w:r>
          </w:p>
        </w:tc>
      </w:tr>
      <w:tr w:rsidR="001453D5" w:rsidTr="001453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Merge/>
          </w:tcPr>
          <w:p w:rsidR="001453D5" w:rsidRDefault="001453D5">
            <w:pPr>
              <w:widowControl w:val="0"/>
              <w:spacing w:line="276" w:lineRule="auto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7859" w:type="dxa"/>
            <w:gridSpan w:val="2"/>
          </w:tcPr>
          <w:p w:rsidR="001453D5" w:rsidRDefault="00D952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* Tipična vrednost je bila testirana v laboratorijskih pogojih tretje osebe. Tipična vrednost predstavlja ocenjeni povprečni rezultat ob upoštevanju odstopanj v kapaciteti med vzorci baterij, testiranih v skladu s standardom I</w:t>
            </w:r>
            <w:r>
              <w:rPr>
                <w:i/>
                <w:iCs/>
                <w:sz w:val="20"/>
                <w:szCs w:val="20"/>
              </w:rPr>
              <w:t xml:space="preserve">EC 61960. Navedena (minimalna) kapaciteta znaša 4905 </w:t>
            </w:r>
            <w:proofErr w:type="spellStart"/>
            <w:r>
              <w:rPr>
                <w:i/>
                <w:iCs/>
                <w:sz w:val="20"/>
                <w:szCs w:val="20"/>
              </w:rPr>
              <w:t>mAh</w:t>
            </w:r>
            <w:proofErr w:type="spellEnd"/>
            <w:r>
              <w:rPr>
                <w:i/>
                <w:iCs/>
                <w:sz w:val="20"/>
                <w:szCs w:val="20"/>
              </w:rPr>
              <w:t>. Dejanska življenjska doba baterije se lahko razlikuje glede na omrežno okolje, vzorce uporabe in druge dejavnike.</w:t>
            </w:r>
          </w:p>
        </w:tc>
      </w:tr>
      <w:tr w:rsidR="001453D5" w:rsidTr="001453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1453D5" w:rsidRDefault="00D952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Operacijski sistem</w:t>
            </w:r>
          </w:p>
        </w:tc>
        <w:tc>
          <w:tcPr>
            <w:tcW w:w="7859" w:type="dxa"/>
            <w:gridSpan w:val="2"/>
          </w:tcPr>
          <w:p w:rsidR="001453D5" w:rsidRDefault="00D952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Android 16</w:t>
            </w:r>
          </w:p>
          <w:p w:rsidR="001453D5" w:rsidRDefault="00D952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UI 8.5</w:t>
            </w:r>
          </w:p>
        </w:tc>
      </w:tr>
      <w:tr w:rsidR="001453D5" w:rsidTr="001453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1453D5" w:rsidRDefault="00D95248">
            <w:pPr>
              <w:rPr>
                <w:sz w:val="16"/>
                <w:szCs w:val="16"/>
              </w:rPr>
            </w:pPr>
            <w:r>
              <w:rPr>
                <w:sz w:val="20"/>
                <w:szCs w:val="20"/>
              </w:rPr>
              <w:t>Varnost</w:t>
            </w:r>
          </w:p>
        </w:tc>
        <w:tc>
          <w:tcPr>
            <w:tcW w:w="7859" w:type="dxa"/>
            <w:gridSpan w:val="2"/>
          </w:tcPr>
          <w:p w:rsidR="001453D5" w:rsidRDefault="00D952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Samsung </w:t>
            </w:r>
            <w:proofErr w:type="spellStart"/>
            <w:r>
              <w:rPr>
                <w:sz w:val="20"/>
                <w:szCs w:val="20"/>
              </w:rPr>
              <w:t>Knox</w:t>
            </w:r>
            <w:proofErr w:type="spellEnd"/>
          </w:p>
        </w:tc>
      </w:tr>
      <w:tr w:rsidR="001453D5" w:rsidTr="001453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1453D5" w:rsidRDefault="00D952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Odpornost na vodo in prah</w:t>
            </w:r>
          </w:p>
        </w:tc>
        <w:tc>
          <w:tcPr>
            <w:tcW w:w="7859" w:type="dxa"/>
            <w:gridSpan w:val="2"/>
          </w:tcPr>
          <w:p w:rsidR="001453D5" w:rsidRDefault="001453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1453D5" w:rsidRDefault="00D952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IP68</w:t>
            </w:r>
          </w:p>
        </w:tc>
      </w:tr>
    </w:tbl>
    <w:p w:rsidR="001453D5" w:rsidRDefault="001453D5">
      <w:pPr>
        <w:jc w:val="both"/>
        <w:rPr>
          <w:sz w:val="20"/>
          <w:szCs w:val="20"/>
        </w:rPr>
      </w:pPr>
    </w:p>
    <w:p w:rsidR="001453D5" w:rsidRDefault="001453D5">
      <w:pPr>
        <w:jc w:val="both"/>
        <w:rPr>
          <w:sz w:val="20"/>
          <w:szCs w:val="20"/>
        </w:rPr>
      </w:pPr>
    </w:p>
    <w:p w:rsidR="001453D5" w:rsidRDefault="00D95248">
      <w:pPr>
        <w:jc w:val="center"/>
        <w:rPr>
          <w:sz w:val="20"/>
          <w:szCs w:val="20"/>
        </w:rPr>
      </w:pPr>
      <w:bookmarkStart w:id="1" w:name="_heading=h.3ikx9x8golv2" w:colFirst="0" w:colLast="0"/>
      <w:bookmarkEnd w:id="1"/>
      <w:r>
        <w:rPr>
          <w:sz w:val="20"/>
          <w:szCs w:val="20"/>
        </w:rPr>
        <w:t>###</w:t>
      </w:r>
    </w:p>
    <w:p w:rsidR="001453D5" w:rsidRDefault="001453D5">
      <w:pPr>
        <w:widowControl w:val="0"/>
        <w:jc w:val="both"/>
        <w:rPr>
          <w:b/>
          <w:bCs/>
          <w:sz w:val="20"/>
          <w:szCs w:val="20"/>
        </w:rPr>
      </w:pPr>
      <w:bookmarkStart w:id="2" w:name="_heading=h.n7mnkpio1in8" w:colFirst="0" w:colLast="0"/>
      <w:bookmarkEnd w:id="2"/>
    </w:p>
    <w:p w:rsidR="001453D5" w:rsidRDefault="001453D5">
      <w:pPr>
        <w:widowControl w:val="0"/>
        <w:jc w:val="both"/>
        <w:rPr>
          <w:b/>
          <w:bCs/>
          <w:sz w:val="20"/>
          <w:szCs w:val="20"/>
        </w:rPr>
      </w:pPr>
      <w:bookmarkStart w:id="3" w:name="_heading=h.1fob9te" w:colFirst="0" w:colLast="0"/>
      <w:bookmarkEnd w:id="3"/>
    </w:p>
    <w:p w:rsidR="001453D5" w:rsidRDefault="00D95248">
      <w:pPr>
        <w:widowControl w:val="0"/>
        <w:spacing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 xml:space="preserve">O podjetju Samsung </w:t>
      </w:r>
      <w:proofErr w:type="spellStart"/>
      <w:r>
        <w:rPr>
          <w:b/>
          <w:bCs/>
          <w:sz w:val="20"/>
          <w:szCs w:val="20"/>
          <w:u w:val="single"/>
        </w:rPr>
        <w:t>Electronics</w:t>
      </w:r>
      <w:proofErr w:type="spellEnd"/>
    </w:p>
    <w:p w:rsidR="001453D5" w:rsidRDefault="00D95248">
      <w:pPr>
        <w:widowControl w:val="0"/>
        <w:spacing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sz w:val="20"/>
          <w:szCs w:val="20"/>
        </w:rPr>
        <w:t>Samsung navdihuje svet in oblikuje prihodnost s prelomnimi idejami in tehnologijami. Podjetje na novo opredeljuje svet televizorjev, digitalnih prikazovalnikov, pametnih telefonov, nos</w:t>
      </w:r>
      <w:r>
        <w:rPr>
          <w:sz w:val="20"/>
          <w:szCs w:val="20"/>
        </w:rPr>
        <w:t>ljivih naprav, tablic, gospodinjskih aparatov in omrežnih sistemov, pa tudi pomnilniških rešitev, sistemskih rešitev LSI in proizvodnje čipov (</w:t>
      </w:r>
      <w:proofErr w:type="spellStart"/>
      <w:r>
        <w:rPr>
          <w:sz w:val="20"/>
          <w:szCs w:val="20"/>
        </w:rPr>
        <w:t>foundry</w:t>
      </w:r>
      <w:proofErr w:type="spellEnd"/>
      <w:r>
        <w:rPr>
          <w:sz w:val="20"/>
          <w:szCs w:val="20"/>
        </w:rPr>
        <w:t xml:space="preserve">). Samsung napreduje tudi na področju medicinskega slikanja, rešitev za </w:t>
      </w:r>
      <w:r>
        <w:rPr>
          <w:sz w:val="20"/>
          <w:szCs w:val="20"/>
        </w:rPr>
        <w:lastRenderedPageBreak/>
        <w:t>ogrevanje, prezračevanja in klimat</w:t>
      </w:r>
      <w:r>
        <w:rPr>
          <w:sz w:val="20"/>
          <w:szCs w:val="20"/>
        </w:rPr>
        <w:t xml:space="preserve">izacije (HVAC) ter robotike, hkrati pa ustvarja inovativne izdelke za avtomobilsko industrijo in avdio prek podjetja </w:t>
      </w:r>
      <w:proofErr w:type="spellStart"/>
      <w:r>
        <w:rPr>
          <w:sz w:val="20"/>
          <w:szCs w:val="20"/>
        </w:rPr>
        <w:t>Harman</w:t>
      </w:r>
      <w:proofErr w:type="spellEnd"/>
      <w:r>
        <w:rPr>
          <w:sz w:val="20"/>
          <w:szCs w:val="20"/>
        </w:rPr>
        <w:t xml:space="preserve">. S svojim ekosistemom </w:t>
      </w:r>
      <w:proofErr w:type="spellStart"/>
      <w:r>
        <w:rPr>
          <w:sz w:val="20"/>
          <w:szCs w:val="20"/>
        </w:rPr>
        <w:t>SmartThings</w:t>
      </w:r>
      <w:proofErr w:type="spellEnd"/>
      <w:r>
        <w:rPr>
          <w:sz w:val="20"/>
          <w:szCs w:val="20"/>
        </w:rPr>
        <w:t xml:space="preserve">, odprtim sodelovanjem s partnerji in vključevanjem umetne inteligence v celoten portfelj izdelkov </w:t>
      </w:r>
      <w:r>
        <w:rPr>
          <w:sz w:val="20"/>
          <w:szCs w:val="20"/>
        </w:rPr>
        <w:t xml:space="preserve">Samsung omogoča inteligentno in povezano uporabniško izkušnjo. Za najnovejše novice obiščite Samsung </w:t>
      </w:r>
      <w:proofErr w:type="spellStart"/>
      <w:r>
        <w:rPr>
          <w:sz w:val="20"/>
          <w:szCs w:val="20"/>
        </w:rPr>
        <w:t>Newsroom</w:t>
      </w:r>
      <w:proofErr w:type="spellEnd"/>
      <w:r>
        <w:rPr>
          <w:sz w:val="20"/>
          <w:szCs w:val="20"/>
        </w:rPr>
        <w:t xml:space="preserve"> na spletni strani </w:t>
      </w:r>
      <w:hyperlink r:id="rId8">
        <w:r>
          <w:rPr>
            <w:color w:val="1155CC"/>
            <w:sz w:val="20"/>
            <w:szCs w:val="20"/>
            <w:u w:val="single"/>
          </w:rPr>
          <w:t>news.samsung.com</w:t>
        </w:r>
      </w:hyperlink>
      <w:r>
        <w:rPr>
          <w:sz w:val="20"/>
          <w:szCs w:val="20"/>
        </w:rPr>
        <w:t>.</w:t>
      </w:r>
    </w:p>
    <w:sectPr w:rsidR="001453D5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5248" w:rsidRDefault="00D95248">
      <w:pPr>
        <w:spacing w:line="240" w:lineRule="auto"/>
      </w:pPr>
      <w:r>
        <w:separator/>
      </w:r>
    </w:p>
  </w:endnote>
  <w:endnote w:type="continuationSeparator" w:id="0">
    <w:p w:rsidR="00D95248" w:rsidRDefault="00D952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  <w:embedRegular r:id="rId1" w:fontKey="{3B36D813-13AF-4A54-AD43-6DDFE23E4862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2" w:fontKey="{A94EBAE2-F3C4-46C0-8D0A-D476631F4DC0}"/>
    <w:embedBold r:id="rId3" w:fontKey="{A3095108-096F-4A62-AEA9-9308531BB607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3E07BEF6-BEA5-40A2-9EA2-9CC627200A9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5248" w:rsidRDefault="00D95248">
      <w:pPr>
        <w:spacing w:line="240" w:lineRule="auto"/>
      </w:pPr>
      <w:r>
        <w:separator/>
      </w:r>
    </w:p>
  </w:footnote>
  <w:footnote w:type="continuationSeparator" w:id="0">
    <w:p w:rsidR="00D95248" w:rsidRDefault="00D95248">
      <w:pPr>
        <w:spacing w:line="240" w:lineRule="auto"/>
      </w:pPr>
      <w:r>
        <w:continuationSeparator/>
      </w:r>
    </w:p>
  </w:footnote>
  <w:footnote w:id="1">
    <w:p w:rsidR="001453D5" w:rsidRDefault="00D95248">
      <w:pPr>
        <w:spacing w:line="240" w:lineRule="auto"/>
        <w:jc w:val="both"/>
        <w:rPr>
          <w:sz w:val="16"/>
          <w:szCs w:val="16"/>
        </w:rPr>
      </w:pPr>
      <w:r>
        <w:rPr>
          <w:rStyle w:val="Sprotnaopomba-sklic"/>
        </w:rPr>
        <w:footnoteRef/>
      </w:r>
      <w:r>
        <w:rPr>
          <w:sz w:val="16"/>
          <w:szCs w:val="16"/>
        </w:rPr>
        <w:t xml:space="preserve"> Zaslon je prejel certifikat </w:t>
      </w:r>
      <w:proofErr w:type="spellStart"/>
      <w:r>
        <w:rPr>
          <w:sz w:val="16"/>
          <w:szCs w:val="16"/>
        </w:rPr>
        <w:t>Eye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Care</w:t>
      </w:r>
      <w:proofErr w:type="spellEnd"/>
      <w:r>
        <w:rPr>
          <w:sz w:val="16"/>
          <w:szCs w:val="16"/>
        </w:rPr>
        <w:t xml:space="preserve"> podjetja SGS na podlagi svoj</w:t>
      </w:r>
      <w:r>
        <w:rPr>
          <w:sz w:val="16"/>
          <w:szCs w:val="16"/>
        </w:rPr>
        <w:t>e sposobnosti zmanjševanja škodljivih učinkov modre svetlobe.</w:t>
      </w:r>
    </w:p>
  </w:footnote>
  <w:footnote w:id="2">
    <w:p w:rsidR="001453D5" w:rsidRDefault="00D95248">
      <w:pPr>
        <w:spacing w:line="240" w:lineRule="auto"/>
        <w:jc w:val="both"/>
        <w:rPr>
          <w:sz w:val="16"/>
          <w:szCs w:val="16"/>
        </w:rPr>
      </w:pPr>
      <w:r>
        <w:rPr>
          <w:rStyle w:val="Sprotnaopomba-sklic"/>
        </w:rPr>
        <w:footnoteRef/>
      </w:r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Memory</w:t>
      </w:r>
      <w:proofErr w:type="spellEnd"/>
      <w:r>
        <w:rPr>
          <w:sz w:val="16"/>
          <w:szCs w:val="16"/>
        </w:rPr>
        <w:t>/</w:t>
      </w:r>
      <w:proofErr w:type="spellStart"/>
      <w:r>
        <w:rPr>
          <w:sz w:val="16"/>
          <w:szCs w:val="16"/>
        </w:rPr>
        <w:t>storage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options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and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availability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may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vary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by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country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region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or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carrier</w:t>
      </w:r>
      <w:proofErr w:type="spellEnd"/>
      <w:r>
        <w:rPr>
          <w:sz w:val="16"/>
          <w:szCs w:val="16"/>
        </w:rPr>
        <w:t xml:space="preserve">. </w:t>
      </w:r>
      <w:proofErr w:type="spellStart"/>
      <w:r>
        <w:rPr>
          <w:sz w:val="16"/>
          <w:szCs w:val="16"/>
        </w:rPr>
        <w:t>Available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memory</w:t>
      </w:r>
      <w:proofErr w:type="spellEnd"/>
      <w:r>
        <w:rPr>
          <w:sz w:val="16"/>
          <w:szCs w:val="16"/>
        </w:rPr>
        <w:t>/</w:t>
      </w:r>
      <w:proofErr w:type="spellStart"/>
      <w:r>
        <w:rPr>
          <w:sz w:val="16"/>
          <w:szCs w:val="16"/>
        </w:rPr>
        <w:t>storage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capacity</w:t>
      </w:r>
      <w:proofErr w:type="spellEnd"/>
      <w:r>
        <w:rPr>
          <w:sz w:val="16"/>
          <w:szCs w:val="16"/>
        </w:rPr>
        <w:t xml:space="preserve"> is </w:t>
      </w:r>
      <w:proofErr w:type="spellStart"/>
      <w:r>
        <w:rPr>
          <w:sz w:val="16"/>
          <w:szCs w:val="16"/>
        </w:rPr>
        <w:t>subject</w:t>
      </w:r>
      <w:proofErr w:type="spellEnd"/>
      <w:r>
        <w:rPr>
          <w:sz w:val="16"/>
          <w:szCs w:val="16"/>
        </w:rPr>
        <w:t xml:space="preserve"> to </w:t>
      </w:r>
      <w:proofErr w:type="spellStart"/>
      <w:r>
        <w:rPr>
          <w:sz w:val="16"/>
          <w:szCs w:val="16"/>
        </w:rPr>
        <w:t>preloaded</w:t>
      </w:r>
      <w:proofErr w:type="spellEnd"/>
      <w:r>
        <w:rPr>
          <w:sz w:val="16"/>
          <w:szCs w:val="16"/>
        </w:rPr>
        <w:t xml:space="preserve"> software.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4C4FFC"/>
    <w:multiLevelType w:val="multilevel"/>
    <w:tmpl w:val="8842BD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3D5"/>
    <w:rsid w:val="001453D5"/>
    <w:rsid w:val="00733B68"/>
    <w:rsid w:val="00D95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7C3C29-DE87-41BB-9D6B-057CB0B0B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sl" w:eastAsia="sl-S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</w:style>
  <w:style w:type="paragraph" w:styleId="Naslov1">
    <w:name w:val="heading 1"/>
    <w:basedOn w:val="Navaden"/>
    <w:next w:val="Navade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slov2">
    <w:name w:val="heading 2"/>
    <w:basedOn w:val="Navaden"/>
    <w:next w:val="Navade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slov3">
    <w:name w:val="heading 3"/>
    <w:basedOn w:val="Navaden"/>
    <w:next w:val="Navade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slov4">
    <w:name w:val="heading 4"/>
    <w:basedOn w:val="Navaden"/>
    <w:next w:val="Navade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slov5">
    <w:name w:val="heading 5"/>
    <w:basedOn w:val="Navaden"/>
    <w:next w:val="Navaden"/>
    <w:pPr>
      <w:keepNext/>
      <w:keepLines/>
      <w:spacing w:before="240" w:after="80"/>
      <w:outlineLvl w:val="4"/>
    </w:pPr>
    <w:rPr>
      <w:color w:val="666666"/>
    </w:rPr>
  </w:style>
  <w:style w:type="paragraph" w:styleId="Naslov6">
    <w:name w:val="heading 6"/>
    <w:basedOn w:val="Navaden"/>
    <w:next w:val="Navaden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avaden"/>
    <w:next w:val="Navaden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2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Pripombasklic">
    <w:name w:val="annotation reference"/>
    <w:basedOn w:val="Privzetapisavaodstavka"/>
    <w:uiPriority w:val="99"/>
    <w:semiHidden/>
    <w:unhideWhenUsed/>
    <w:rsid w:val="00903542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903542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903542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03542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03542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0354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03542"/>
    <w:rPr>
      <w:rFonts w:ascii="Segoe UI" w:hAnsi="Segoe UI" w:cs="Segoe UI"/>
      <w:sz w:val="18"/>
      <w:szCs w:val="18"/>
    </w:rPr>
  </w:style>
  <w:style w:type="table" w:customStyle="1" w:styleId="a3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Odstavekseznama">
    <w:name w:val="List Paragraph"/>
    <w:basedOn w:val="Navaden"/>
    <w:uiPriority w:val="34"/>
    <w:qFormat/>
    <w:rsid w:val="003F0BF1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4D4404"/>
    <w:rPr>
      <w:color w:val="0000FF" w:themeColor="hyperlink"/>
      <w:u w:val="single"/>
    </w:rPr>
  </w:style>
  <w:style w:type="table" w:customStyle="1" w:styleId="ab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c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e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f0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Glava">
    <w:name w:val="header"/>
    <w:basedOn w:val="Navaden"/>
    <w:link w:val="GlavaZnak"/>
    <w:uiPriority w:val="99"/>
    <w:unhideWhenUsed/>
    <w:rsid w:val="002A5221"/>
    <w:pPr>
      <w:tabs>
        <w:tab w:val="center" w:pos="4680"/>
        <w:tab w:val="right" w:pos="9360"/>
      </w:tabs>
      <w:spacing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2A5221"/>
  </w:style>
  <w:style w:type="paragraph" w:styleId="Noga">
    <w:name w:val="footer"/>
    <w:basedOn w:val="Navaden"/>
    <w:link w:val="NogaZnak"/>
    <w:uiPriority w:val="99"/>
    <w:unhideWhenUsed/>
    <w:rsid w:val="002A5221"/>
    <w:pPr>
      <w:tabs>
        <w:tab w:val="center" w:pos="4680"/>
        <w:tab w:val="right" w:pos="9360"/>
      </w:tabs>
      <w:spacing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A5221"/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2A5221"/>
    <w:pPr>
      <w:spacing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2A5221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2A5221"/>
    <w:rPr>
      <w:vertAlign w:val="superscript"/>
    </w:rPr>
  </w:style>
  <w:style w:type="table" w:customStyle="1" w:styleId="afff0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4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6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odnaslov">
    <w:name w:val="Subtitle"/>
    <w:basedOn w:val="Navaden"/>
    <w:next w:val="Navaden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fffa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b">
    <w:basedOn w:val="Navadnatabela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ews.samsung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S+ylMMGzmAUnKHuqnMF0MZLsnw==">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Kaja Kosec/PR Unit /SEAD/Professional/Samsung Electronics</dc:creator>
  <cp:lastModifiedBy>Marko</cp:lastModifiedBy>
  <cp:revision>2</cp:revision>
  <dcterms:created xsi:type="dcterms:W3CDTF">2026-03-25T14:41:00Z</dcterms:created>
  <dcterms:modified xsi:type="dcterms:W3CDTF">2026-03-25T14:41:00Z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