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CE2" w:rsidRDefault="00EC2CE2">
      <w:pPr>
        <w:jc w:val="both"/>
        <w:rPr>
          <w:b/>
          <w:sz w:val="20"/>
          <w:szCs w:val="20"/>
        </w:rPr>
      </w:pPr>
    </w:p>
    <w:tbl>
      <w:tblPr>
        <w:tblStyle w:val="aff9"/>
        <w:tblW w:w="9062" w:type="dxa"/>
        <w:tblBorders>
          <w:top w:val="nil"/>
          <w:left w:val="nil"/>
          <w:bottom w:val="nil"/>
          <w:right w:val="nil"/>
          <w:insideH w:val="nil"/>
          <w:insideV w:val="nil"/>
        </w:tblBorders>
        <w:tblLayout w:type="fixed"/>
        <w:tblLook w:val="0400" w:firstRow="0" w:lastRow="0" w:firstColumn="0" w:lastColumn="0" w:noHBand="0" w:noVBand="1"/>
      </w:tblPr>
      <w:tblGrid>
        <w:gridCol w:w="4166"/>
        <w:gridCol w:w="4896"/>
      </w:tblGrid>
      <w:tr w:rsidR="00EC2CE2">
        <w:trPr>
          <w:trHeight w:val="1394"/>
        </w:trPr>
        <w:tc>
          <w:tcPr>
            <w:tcW w:w="4166" w:type="dxa"/>
          </w:tcPr>
          <w:p w:rsidR="00EC2CE2" w:rsidRDefault="006D14CB">
            <w:pPr>
              <w:spacing w:line="276" w:lineRule="auto"/>
              <w:jc w:val="both"/>
              <w:rPr>
                <w:b/>
                <w:sz w:val="20"/>
                <w:szCs w:val="20"/>
              </w:rPr>
            </w:pPr>
            <w:r>
              <w:rPr>
                <w:noProof/>
                <w:lang w:val="sl-SI" w:eastAsia="sl-SI"/>
              </w:rPr>
              <w:drawing>
                <wp:anchor distT="0" distB="0" distL="114300" distR="114300" simplePos="0" relativeHeight="251658240" behindDoc="0" locked="0" layoutInCell="1" hidden="0" allowOverlap="1">
                  <wp:simplePos x="0" y="0"/>
                  <wp:positionH relativeFrom="column">
                    <wp:posOffset>-64698</wp:posOffset>
                  </wp:positionH>
                  <wp:positionV relativeFrom="paragraph">
                    <wp:posOffset>0</wp:posOffset>
                  </wp:positionV>
                  <wp:extent cx="1658620" cy="254635"/>
                  <wp:effectExtent l="0" t="0" r="0" b="0"/>
                  <wp:wrapSquare wrapText="bothSides" distT="0" distB="0" distL="114300" distR="114300"/>
                  <wp:docPr id="55" name="image1.png" descr="삼성 로고(Lettermark)"/>
                  <wp:cNvGraphicFramePr/>
                  <a:graphic xmlns:a="http://schemas.openxmlformats.org/drawingml/2006/main">
                    <a:graphicData uri="http://schemas.openxmlformats.org/drawingml/2006/picture">
                      <pic:pic xmlns:pic="http://schemas.openxmlformats.org/drawingml/2006/picture">
                        <pic:nvPicPr>
                          <pic:cNvPr id="0" name="image1.png" descr="삼성 로고(Lettermark)"/>
                          <pic:cNvPicPr preferRelativeResize="0"/>
                        </pic:nvPicPr>
                        <pic:blipFill>
                          <a:blip r:embed="rId7"/>
                          <a:srcRect/>
                          <a:stretch>
                            <a:fillRect/>
                          </a:stretch>
                        </pic:blipFill>
                        <pic:spPr>
                          <a:xfrm>
                            <a:off x="0" y="0"/>
                            <a:ext cx="1658620" cy="254635"/>
                          </a:xfrm>
                          <a:prstGeom prst="rect">
                            <a:avLst/>
                          </a:prstGeom>
                          <a:ln/>
                        </pic:spPr>
                      </pic:pic>
                    </a:graphicData>
                  </a:graphic>
                </wp:anchor>
              </w:drawing>
            </w:r>
          </w:p>
        </w:tc>
        <w:tc>
          <w:tcPr>
            <w:tcW w:w="4896" w:type="dxa"/>
          </w:tcPr>
          <w:p w:rsidR="00EC2CE2" w:rsidRDefault="006D14CB">
            <w:pPr>
              <w:widowControl w:val="0"/>
              <w:tabs>
                <w:tab w:val="center" w:pos="4680"/>
                <w:tab w:val="right" w:pos="9360"/>
              </w:tabs>
              <w:spacing w:line="276" w:lineRule="auto"/>
              <w:jc w:val="both"/>
              <w:rPr>
                <w:b/>
                <w:sz w:val="16"/>
                <w:szCs w:val="16"/>
              </w:rPr>
            </w:pPr>
            <w:r>
              <w:rPr>
                <w:b/>
                <w:sz w:val="16"/>
                <w:szCs w:val="16"/>
              </w:rPr>
              <w:t xml:space="preserve">                                                      KONTAKT:</w:t>
            </w:r>
          </w:p>
          <w:p w:rsidR="00EC2CE2" w:rsidRDefault="006D14CB">
            <w:pPr>
              <w:widowControl w:val="0"/>
              <w:tabs>
                <w:tab w:val="center" w:pos="4680"/>
                <w:tab w:val="right" w:pos="9360"/>
              </w:tabs>
              <w:spacing w:line="276" w:lineRule="auto"/>
              <w:ind w:firstLine="2409"/>
              <w:jc w:val="both"/>
              <w:rPr>
                <w:sz w:val="16"/>
                <w:szCs w:val="16"/>
              </w:rPr>
            </w:pPr>
            <w:r>
              <w:rPr>
                <w:sz w:val="16"/>
                <w:szCs w:val="16"/>
              </w:rPr>
              <w:t>Damjan Dobranič</w:t>
            </w:r>
          </w:p>
          <w:p w:rsidR="00EC2CE2" w:rsidRDefault="006D14CB">
            <w:pPr>
              <w:widowControl w:val="0"/>
              <w:tabs>
                <w:tab w:val="center" w:pos="4680"/>
                <w:tab w:val="right" w:pos="9360"/>
              </w:tabs>
              <w:spacing w:line="276" w:lineRule="auto"/>
              <w:ind w:firstLine="2409"/>
              <w:jc w:val="both"/>
              <w:rPr>
                <w:sz w:val="16"/>
                <w:szCs w:val="16"/>
              </w:rPr>
            </w:pPr>
            <w:r>
              <w:rPr>
                <w:sz w:val="16"/>
                <w:szCs w:val="16"/>
              </w:rPr>
              <w:t>Millenium Promocija d.o.o.</w:t>
            </w:r>
          </w:p>
          <w:p w:rsidR="00EC2CE2" w:rsidRDefault="006D14CB">
            <w:pPr>
              <w:widowControl w:val="0"/>
              <w:tabs>
                <w:tab w:val="center" w:pos="4680"/>
                <w:tab w:val="right" w:pos="9360"/>
              </w:tabs>
              <w:spacing w:line="276" w:lineRule="auto"/>
              <w:ind w:firstLine="2409"/>
              <w:jc w:val="both"/>
              <w:rPr>
                <w:sz w:val="16"/>
                <w:szCs w:val="16"/>
              </w:rPr>
            </w:pPr>
            <w:r>
              <w:rPr>
                <w:sz w:val="16"/>
                <w:szCs w:val="16"/>
              </w:rPr>
              <w:t xml:space="preserve">Tel: +386 41 333 266 </w:t>
            </w:r>
          </w:p>
          <w:p w:rsidR="00EC2CE2" w:rsidRDefault="00E46D70">
            <w:pPr>
              <w:widowControl w:val="0"/>
              <w:tabs>
                <w:tab w:val="center" w:pos="4680"/>
                <w:tab w:val="right" w:pos="9360"/>
              </w:tabs>
              <w:spacing w:line="276" w:lineRule="auto"/>
              <w:ind w:firstLine="2409"/>
              <w:jc w:val="both"/>
              <w:rPr>
                <w:sz w:val="20"/>
                <w:szCs w:val="20"/>
              </w:rPr>
            </w:pPr>
            <w:hyperlink r:id="rId8">
              <w:r w:rsidR="006D14CB">
                <w:rPr>
                  <w:color w:val="1155CC"/>
                  <w:sz w:val="16"/>
                  <w:szCs w:val="16"/>
                  <w:u w:val="single"/>
                </w:rPr>
                <w:t>damjan@milleniumpromocija.si</w:t>
              </w:r>
            </w:hyperlink>
          </w:p>
          <w:p w:rsidR="00EC2CE2" w:rsidRDefault="00EC2CE2">
            <w:pPr>
              <w:spacing w:line="276" w:lineRule="auto"/>
              <w:jc w:val="both"/>
              <w:rPr>
                <w:b/>
                <w:sz w:val="20"/>
                <w:szCs w:val="20"/>
              </w:rPr>
            </w:pPr>
          </w:p>
          <w:p w:rsidR="00EC2CE2" w:rsidRDefault="00EC2CE2">
            <w:pPr>
              <w:spacing w:line="276" w:lineRule="auto"/>
              <w:jc w:val="both"/>
              <w:rPr>
                <w:b/>
                <w:sz w:val="20"/>
                <w:szCs w:val="20"/>
              </w:rPr>
            </w:pPr>
          </w:p>
        </w:tc>
      </w:tr>
    </w:tbl>
    <w:p w:rsidR="00EC2CE2" w:rsidRDefault="006D14CB">
      <w:pPr>
        <w:spacing w:before="120" w:after="120" w:line="240" w:lineRule="auto"/>
        <w:rPr>
          <w:b/>
        </w:rPr>
      </w:pPr>
      <w:bookmarkStart w:id="0" w:name="_heading=h.lapq986mvdq" w:colFirst="0" w:colLast="0"/>
      <w:bookmarkStart w:id="1" w:name="_GoBack"/>
      <w:bookmarkEnd w:id="0"/>
      <w:r>
        <w:rPr>
          <w:b/>
        </w:rPr>
        <w:t>Tabela specifikacij</w:t>
      </w:r>
      <w:bookmarkEnd w:id="1"/>
      <w:r>
        <w:rPr>
          <w:b/>
        </w:rPr>
        <w:t xml:space="preserve">: </w:t>
      </w:r>
    </w:p>
    <w:sdt>
      <w:sdtPr>
        <w:tag w:val="goog_rdk_0"/>
        <w:id w:val="-423730349"/>
        <w:lock w:val="contentLocked"/>
      </w:sdtPr>
      <w:sdtEndPr/>
      <w:sdtContent>
        <w:tbl>
          <w:tblPr>
            <w:tblStyle w:val="affa"/>
            <w:tblW w:w="973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969"/>
            <w:gridCol w:w="649"/>
            <w:gridCol w:w="8112"/>
          </w:tblGrid>
          <w:tr w:rsidR="00EC2CE2">
            <w:trPr>
              <w:trHeight w:val="300"/>
            </w:trPr>
            <w:tc>
              <w:tcPr>
                <w:tcW w:w="9730" w:type="dxa"/>
                <w:gridSpan w:val="3"/>
                <w:tcBorders>
                  <w:top w:val="single" w:sz="6" w:space="0" w:color="000000"/>
                  <w:left w:val="single" w:sz="6" w:space="0" w:color="000000"/>
                  <w:bottom w:val="single" w:sz="4" w:space="0" w:color="000000"/>
                  <w:right w:val="single" w:sz="6" w:space="0" w:color="000000"/>
                </w:tcBorders>
                <w:shd w:val="clear" w:color="auto" w:fill="000000"/>
                <w:vAlign w:val="center"/>
              </w:tcPr>
              <w:p w:rsidR="00EC2CE2" w:rsidRDefault="006D14CB">
                <w:pPr>
                  <w:spacing w:before="120" w:after="120" w:line="240" w:lineRule="auto"/>
                  <w:jc w:val="center"/>
                  <w:rPr>
                    <w:b/>
                    <w:color w:val="FFFFFF"/>
                    <w:sz w:val="20"/>
                    <w:szCs w:val="20"/>
                  </w:rPr>
                </w:pPr>
                <w:r>
                  <w:rPr>
                    <w:b/>
                    <w:color w:val="FFFFFF"/>
                    <w:sz w:val="20"/>
                    <w:szCs w:val="20"/>
                  </w:rPr>
                  <w:t>Galaxy XCover7 Pro</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Zaslon</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16,7 cm (6,6-palca)*, 20:9, FHD+ TFT LCD, do 120 Hz**, občutljivost na dotik***, Vision Booster</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Merjeno po diagonali kot polni pravokotnik brez upoštevanja zaobljenih robov. Dejanska vidna površina je manjša zaradi zaobljenih robov in odprtine za kamero.</w:t>
                </w:r>
              </w:p>
              <w:p w:rsidR="00EC2CE2" w:rsidRDefault="006D14CB">
                <w:pPr>
                  <w:spacing w:before="120" w:after="120" w:line="240" w:lineRule="auto"/>
                  <w:rPr>
                    <w:sz w:val="16"/>
                    <w:szCs w:val="16"/>
                  </w:rPr>
                </w:pPr>
                <w:r>
                  <w:rPr>
                    <w:sz w:val="16"/>
                    <w:szCs w:val="16"/>
                  </w:rPr>
                  <w:t>** Hitrost osveževanja zaslona je odvisna od uporabljene aplikacije in nekatere aplikacije morda ne podpirajo 120 Hz. Prilagodljiva hitrost osveževanja podpira do 120 Hz, ki po potrebi samodejno prilagodi gladkost gibanja, medtem ko standardna hitrost osveževanja podpira 120 Hz hitrost osveževanja zaslona.</w:t>
                </w:r>
              </w:p>
              <w:p w:rsidR="00EC2CE2" w:rsidRDefault="006D14CB">
                <w:pPr>
                  <w:spacing w:before="120" w:after="120" w:line="240" w:lineRule="auto"/>
                  <w:rPr>
                    <w:sz w:val="16"/>
                    <w:szCs w:val="16"/>
                  </w:rPr>
                </w:pPr>
                <w:r>
                  <w:rPr>
                    <w:sz w:val="16"/>
                    <w:szCs w:val="16"/>
                  </w:rPr>
                  <w:t>*** Občutljivost na dotik povečuje odzivnost usnjenih rokavic debeline 2 mm ali manj na podlagi rezultatov internih laboratorijskih testov. Naprave se lahko uporabljajo v mokrih okoljih, vendar ne popolnoma potopljene pod vodo. Dotik pod vodo ni na voljo. Odzivnost na dotik se lahko razlikuje glede na material in debelino rokavic ter druge okoljske pogoje.</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Operacijski sistem</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 xml:space="preserve">Android 15 </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Mere</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168,6 x 79,9 x 10,2 mm (240 g*)</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Teža se lahko razlikuje glede na trg.</w:t>
                </w:r>
              </w:p>
            </w:tc>
          </w:tr>
          <w:tr w:rsidR="00EC2CE2">
            <w:tc>
              <w:tcPr>
                <w:tcW w:w="969" w:type="dxa"/>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Kamera</w:t>
                </w:r>
              </w:p>
            </w:tc>
            <w:tc>
              <w:tcPr>
                <w:tcW w:w="649" w:type="dxa"/>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14"/>
                    <w:szCs w:val="14"/>
                  </w:rPr>
                </w:pPr>
                <w:r>
                  <w:rPr>
                    <w:b/>
                    <w:sz w:val="14"/>
                    <w:szCs w:val="14"/>
                  </w:rPr>
                  <w:t>zadnja</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50 MP (F1,8) široka, 8 MP (F2,2) ultra široka, bliskavica</w:t>
                </w:r>
              </w:p>
            </w:tc>
          </w:tr>
          <w:tr w:rsidR="00EC2CE2">
            <w:tc>
              <w:tcPr>
                <w:tcW w:w="969" w:type="dxa"/>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649" w:type="dxa"/>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14"/>
                    <w:szCs w:val="14"/>
                  </w:rPr>
                </w:pPr>
                <w:r>
                  <w:rPr>
                    <w:b/>
                    <w:sz w:val="14"/>
                    <w:szCs w:val="14"/>
                  </w:rPr>
                  <w:t>sprednja</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13 MP (F2,2)</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Pomnilnik in spomin*</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6 + 128 GB, microSD do 2TB**</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Dejanska razpoložljivost prostora za shranjevanje se lahko razlikuje glede na predhodno nameščeno programsko opremo in glede na trg, velikost ter obliko datoteke.</w:t>
                </w:r>
              </w:p>
              <w:p w:rsidR="00EC2CE2" w:rsidRDefault="006D14CB">
                <w:pPr>
                  <w:spacing w:before="120" w:after="120" w:line="240" w:lineRule="auto"/>
                  <w:rPr>
                    <w:sz w:val="20"/>
                    <w:szCs w:val="20"/>
                  </w:rPr>
                </w:pPr>
                <w:r>
                  <w:rPr>
                    <w:sz w:val="16"/>
                    <w:szCs w:val="16"/>
                  </w:rPr>
                  <w:t>** Kartica MicroSD je naprodaj ločeno.</w:t>
                </w:r>
              </w:p>
            </w:tc>
          </w:tr>
          <w:tr w:rsidR="00EC2CE2">
            <w:tc>
              <w:tcPr>
                <w:tcW w:w="1618" w:type="dxa"/>
                <w:gridSpan w:val="2"/>
                <w:vMerge w:val="restart"/>
                <w:tcBorders>
                  <w:top w:val="single" w:sz="4" w:space="0" w:color="000000"/>
                  <w:left w:val="nil"/>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Procesor</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Mobilna platforma Snapdragon</w:t>
                </w:r>
                <w:r>
                  <w:rPr>
                    <w:sz w:val="20"/>
                    <w:szCs w:val="20"/>
                    <w:vertAlign w:val="superscript"/>
                  </w:rPr>
                  <w:t>®</w:t>
                </w:r>
                <w:r>
                  <w:rPr>
                    <w:sz w:val="20"/>
                    <w:szCs w:val="20"/>
                  </w:rPr>
                  <w:t xml:space="preserve"> 7s Gen 3 (4nm osemjederni)</w:t>
                </w:r>
              </w:p>
            </w:tc>
          </w:tr>
          <w:tr w:rsidR="00EC2CE2">
            <w:tc>
              <w:tcPr>
                <w:tcW w:w="1618" w:type="dxa"/>
                <w:gridSpan w:val="2"/>
                <w:vMerge/>
                <w:tcBorders>
                  <w:top w:val="single" w:sz="4" w:space="0" w:color="000000"/>
                  <w:left w:val="nil"/>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Snapdragon je blagovna znamka ali registrirana blagovna znamka družbe Qualcomm Incorporated. Snapdragon je izdelek družbe Qualcomm Technologies, Inc. in/ali njenih podružnic.</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Baterija***</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4350mAh (tipična)*, zamenljiva s strani uporabnika**</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Tipična vrednost, preizkušena v laboratorijskih pogojih tretje osebe. Tipična vrednost je ocenjena povprečna vrednost ob upoštevanju odstopanja kapacitete baterije med vzorci baterij, testiranimi po standardih IEC 61960. Dejanska življenjska doba baterije se lahko razlikuje glede na omrežno okolje, vzorce uporabe in druge dejavnike.</w:t>
                </w:r>
              </w:p>
              <w:p w:rsidR="00EC2CE2" w:rsidRDefault="006D14CB">
                <w:pPr>
                  <w:spacing w:before="120" w:after="120" w:line="240" w:lineRule="auto"/>
                  <w:rPr>
                    <w:sz w:val="16"/>
                    <w:szCs w:val="16"/>
                  </w:rPr>
                </w:pPr>
                <w:r>
                  <w:rPr>
                    <w:sz w:val="16"/>
                    <w:szCs w:val="16"/>
                  </w:rPr>
                  <w:t>** Dodatna zamenljiva baterija in polnilna postaja POGO sta naprodaj ločeno. V primeru dodatnih zamenljivih baterij so za uporabo združljivi samo Samsung certificirani izdelki.</w:t>
                </w:r>
              </w:p>
              <w:p w:rsidR="00EC2CE2" w:rsidRDefault="006D14CB">
                <w:pPr>
                  <w:spacing w:before="120" w:after="120" w:line="240" w:lineRule="auto"/>
                  <w:rPr>
                    <w:sz w:val="20"/>
                    <w:szCs w:val="20"/>
                  </w:rPr>
                </w:pPr>
                <w:r>
                  <w:rPr>
                    <w:sz w:val="16"/>
                    <w:szCs w:val="16"/>
                  </w:rPr>
                  <w:t>*** Polnilec je naprodaj ločeno.</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Povezljivost**</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5G (Sub6)*, LTE, Wi-Fi 6E, Wi-Fi Direct, Bluetooth</w:t>
                </w:r>
                <w:r>
                  <w:rPr>
                    <w:sz w:val="20"/>
                    <w:szCs w:val="20"/>
                    <w:vertAlign w:val="superscript"/>
                  </w:rPr>
                  <w:t>®</w:t>
                </w:r>
                <w:r>
                  <w:rPr>
                    <w:sz w:val="20"/>
                    <w:szCs w:val="20"/>
                  </w:rPr>
                  <w:t> v5.4, NFC</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Storitve 5G so podprte le na lokacijah, kjer je omogočeno omrežje 5G. Zahteva optimalno povezavo 5G.</w:t>
                </w:r>
              </w:p>
              <w:p w:rsidR="00EC2CE2" w:rsidRDefault="006D14CB">
                <w:pPr>
                  <w:spacing w:before="120" w:after="120" w:line="240" w:lineRule="auto"/>
                  <w:rPr>
                    <w:sz w:val="16"/>
                    <w:szCs w:val="16"/>
                  </w:rPr>
                </w:pPr>
                <w:r>
                  <w:rPr>
                    <w:sz w:val="16"/>
                    <w:szCs w:val="16"/>
                  </w:rPr>
                  <w:t>** Dejanska hitrost se lahko razlikuje glede na trg, operaterja, ponudnika vsebine in uporabniško okolje.</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SIM</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Dvojna SIM (pSIM + eSIM*)</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 Razpoložljivost vgrajenih kartic SIM se razlikuje glede na trg.</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Vmesnik</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USB 3.2 Type-C, POGO Pin (samo za polnjenje)</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Senzorji</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Merilnik pospeška, žiroskop, geomagnetni, svetlobni, za bližino, prstni odtis</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GPS*</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GPS, GLONASS, Galileo, BeiDou, QZSS</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Vrsta razpoložljivosti GNSS se lahko razlikuje glede na trg. Pokritost sistemov Galileo in BeiDou je lahko omejena. BeiDou morda ne bo na voljo na nekaterih trgih.</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Robustna vzdržljivost</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IP68*, MIL-STD-810H**, steklo Corning</w:t>
                </w:r>
                <w:r>
                  <w:rPr>
                    <w:sz w:val="20"/>
                    <w:szCs w:val="20"/>
                    <w:vertAlign w:val="superscript"/>
                  </w:rPr>
                  <w:t>®</w:t>
                </w:r>
                <w:r>
                  <w:rPr>
                    <w:sz w:val="20"/>
                    <w:szCs w:val="20"/>
                  </w:rPr>
                  <w:t> Gorilla</w:t>
                </w:r>
                <w:r>
                  <w:rPr>
                    <w:sz w:val="20"/>
                    <w:szCs w:val="20"/>
                    <w:vertAlign w:val="superscript"/>
                  </w:rPr>
                  <w:t>®</w:t>
                </w:r>
                <w:r>
                  <w:rPr>
                    <w:sz w:val="20"/>
                    <w:szCs w:val="20"/>
                  </w:rPr>
                  <w:t> Victus</w:t>
                </w:r>
                <w:r>
                  <w:rPr>
                    <w:sz w:val="20"/>
                    <w:szCs w:val="20"/>
                    <w:vertAlign w:val="superscript"/>
                  </w:rPr>
                  <w:t>®</w:t>
                </w:r>
                <w:r>
                  <w:rPr>
                    <w:sz w:val="20"/>
                    <w:szCs w:val="20"/>
                  </w:rPr>
                  <w:t>+, preizkušeno za razkužila***</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line="240" w:lineRule="auto"/>
                  <w:rPr>
                    <w:sz w:val="16"/>
                    <w:szCs w:val="16"/>
                  </w:rPr>
                </w:pPr>
                <w:r>
                  <w:rPr>
                    <w:sz w:val="16"/>
                    <w:szCs w:val="16"/>
                  </w:rPr>
                  <w:t>* IP6X: Test penetracije prahu (velikost manj kot 50umx70um) v protiprašni komori</w:t>
                </w:r>
              </w:p>
              <w:p w:rsidR="00EC2CE2" w:rsidRDefault="006D14CB">
                <w:pPr>
                  <w:spacing w:line="240" w:lineRule="auto"/>
                  <w:rPr>
                    <w:sz w:val="16"/>
                    <w:szCs w:val="16"/>
                  </w:rPr>
                </w:pPr>
                <w:r>
                  <w:rPr>
                    <w:sz w:val="16"/>
                    <w:szCs w:val="16"/>
                  </w:rPr>
                  <w:t>* IPX8: potopitev v sladko vodo do globine 1,5 metra za največ 30 minut</w:t>
                </w:r>
              </w:p>
              <w:p w:rsidR="00EC2CE2" w:rsidRDefault="00EC2CE2">
                <w:pPr>
                  <w:spacing w:line="240" w:lineRule="auto"/>
                  <w:rPr>
                    <w:sz w:val="16"/>
                    <w:szCs w:val="16"/>
                  </w:rPr>
                </w:pPr>
              </w:p>
              <w:p w:rsidR="00EC2CE2" w:rsidRDefault="006D14CB">
                <w:pPr>
                  <w:spacing w:line="240" w:lineRule="auto"/>
                  <w:rPr>
                    <w:sz w:val="16"/>
                    <w:szCs w:val="16"/>
                  </w:rPr>
                </w:pPr>
                <w:r>
                  <w:rPr>
                    <w:sz w:val="16"/>
                    <w:szCs w:val="16"/>
                  </w:rPr>
                  <w:t>** MIL-STD-810H: Testiranje v posebnih okoljskih pogojih, vključno z nadmorsko višino, vlažnostjo, potopitvijo, slano meglo, prahom, vibracijami, padcem itd. MIL-STD-810H je standardizirana oblika testiranja, ki jo je zasnovala ameriška vojska za natančno oceno omejitev naprave. Dejanska uporaba se lahko razlikuje glede na posebne okoljske pogoje, ki so bili uporabljeni pri testiranju. Ekstremni pogoji niso zagotovljeni. Specifikacije testov se razlikujejo glede na napravo.</w:t>
                </w:r>
              </w:p>
              <w:p w:rsidR="00EC2CE2" w:rsidRDefault="00EC2CE2">
                <w:pPr>
                  <w:spacing w:line="240" w:lineRule="auto"/>
                  <w:rPr>
                    <w:sz w:val="16"/>
                    <w:szCs w:val="16"/>
                  </w:rPr>
                </w:pPr>
              </w:p>
              <w:p w:rsidR="00EC2CE2" w:rsidRDefault="006D14CB">
                <w:pPr>
                  <w:spacing w:after="120" w:line="240" w:lineRule="auto"/>
                  <w:rPr>
                    <w:sz w:val="16"/>
                    <w:szCs w:val="16"/>
                  </w:rPr>
                </w:pPr>
                <w:r>
                  <w:rPr>
                    <w:sz w:val="16"/>
                    <w:szCs w:val="16"/>
                  </w:rPr>
                  <w:t>*** Preizkušena razkužila: Klorox (klorovodikovo belilo), Medilox HCIO, tekoči etanol, etanolni bombaž</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Zvok</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Dolby Atmos</w:t>
                </w:r>
                <w:r>
                  <w:rPr>
                    <w:sz w:val="20"/>
                    <w:szCs w:val="20"/>
                    <w:vertAlign w:val="superscript"/>
                  </w:rPr>
                  <w:t>®</w:t>
                </w:r>
                <w:r>
                  <w:rPr>
                    <w:sz w:val="20"/>
                    <w:szCs w:val="20"/>
                  </w:rPr>
                  <w:t>, stereo (2 zvočnika)</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Varnost</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Samsung Knox s Samsung Knox Vault, eSE</w:t>
                </w:r>
              </w:p>
            </w:tc>
          </w:tr>
          <w:tr w:rsidR="00EC2CE2">
            <w:tc>
              <w:tcPr>
                <w:tcW w:w="1618"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Biometrična avtentikacija</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Prepoznava obraza, prstni odtis</w:t>
                </w:r>
              </w:p>
            </w:tc>
          </w:tr>
          <w:tr w:rsidR="00EC2CE2">
            <w:tc>
              <w:tcPr>
                <w:tcW w:w="1618"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Programabilne tipke</w:t>
                </w:r>
              </w:p>
            </w:tc>
            <w:tc>
              <w:tcPr>
                <w:tcW w:w="8112"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Prilagajanje prek zgornje tipke in tipke XCover*</w:t>
                </w:r>
              </w:p>
            </w:tc>
          </w:tr>
          <w:tr w:rsidR="00EC2CE2">
            <w:tc>
              <w:tcPr>
                <w:tcW w:w="1618"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2" w:type="dxa"/>
                <w:tcBorders>
                  <w:top w:val="single" w:sz="4" w:space="0" w:color="000000"/>
                  <w:left w:val="nil"/>
                  <w:bottom w:val="nil"/>
                  <w:right w:val="nil"/>
                </w:tcBorders>
                <w:shd w:val="clear" w:color="auto" w:fill="auto"/>
                <w:vAlign w:val="center"/>
              </w:tcPr>
              <w:p w:rsidR="00EC2CE2" w:rsidRDefault="006D14CB">
                <w:pPr>
                  <w:spacing w:before="120" w:after="120" w:line="240" w:lineRule="auto"/>
                  <w:rPr>
                    <w:sz w:val="20"/>
                    <w:szCs w:val="20"/>
                  </w:rPr>
                </w:pPr>
                <w:r>
                  <w:rPr>
                    <w:sz w:val="16"/>
                    <w:szCs w:val="16"/>
                  </w:rPr>
                  <w:t xml:space="preserve">* Podpora za kartiranje ključev se lahko razlikuje glede na aplikacijo. Programabilne tipke so omejene na izbrane funkcije. </w:t>
                </w:r>
              </w:p>
            </w:tc>
          </w:tr>
        </w:tbl>
      </w:sdtContent>
    </w:sdt>
    <w:p w:rsidR="00EC2CE2" w:rsidRDefault="00EC2CE2">
      <w:pPr>
        <w:spacing w:before="120" w:after="120" w:line="240" w:lineRule="auto"/>
        <w:rPr>
          <w:sz w:val="20"/>
          <w:szCs w:val="20"/>
        </w:rPr>
      </w:pPr>
    </w:p>
    <w:sdt>
      <w:sdtPr>
        <w:tag w:val="goog_rdk_1"/>
        <w:id w:val="-897822474"/>
        <w:lock w:val="contentLocked"/>
      </w:sdtPr>
      <w:sdtEndPr/>
      <w:sdtContent>
        <w:tbl>
          <w:tblPr>
            <w:tblStyle w:val="affb"/>
            <w:tblW w:w="973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965"/>
            <w:gridCol w:w="647"/>
            <w:gridCol w:w="8118"/>
          </w:tblGrid>
          <w:tr w:rsidR="00EC2CE2">
            <w:trPr>
              <w:trHeight w:val="300"/>
            </w:trPr>
            <w:tc>
              <w:tcPr>
                <w:tcW w:w="9730" w:type="dxa"/>
                <w:gridSpan w:val="3"/>
                <w:tcBorders>
                  <w:top w:val="single" w:sz="6" w:space="0" w:color="000000"/>
                  <w:left w:val="single" w:sz="6" w:space="0" w:color="000000"/>
                  <w:bottom w:val="single" w:sz="4" w:space="0" w:color="000000"/>
                  <w:right w:val="single" w:sz="6" w:space="0" w:color="000000"/>
                </w:tcBorders>
                <w:shd w:val="clear" w:color="auto" w:fill="000000"/>
                <w:vAlign w:val="center"/>
              </w:tcPr>
              <w:p w:rsidR="00EC2CE2" w:rsidRDefault="006D14CB">
                <w:pPr>
                  <w:spacing w:before="120" w:after="120" w:line="240" w:lineRule="auto"/>
                  <w:jc w:val="center"/>
                  <w:rPr>
                    <w:b/>
                    <w:color w:val="FFFFFF"/>
                    <w:sz w:val="20"/>
                    <w:szCs w:val="20"/>
                  </w:rPr>
                </w:pPr>
                <w:r>
                  <w:rPr>
                    <w:b/>
                    <w:color w:val="FFFFFF"/>
                    <w:sz w:val="20"/>
                    <w:szCs w:val="20"/>
                  </w:rPr>
                  <w:t>Galaxy Tab Active5 Pro</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Zaslon</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25,6 cm (10,1 palca)*, 16:10, WUXGA, TFT LCD, do 120Hz**, občutljivost na dotik***</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Merjeno po diagonali kot polni pravokotnik brez upoštevanja zaobljenih robov. Dejanska vidna površina je manjša zaradi zaobljenih robov in odprtine za kamero.</w:t>
                </w:r>
              </w:p>
              <w:p w:rsidR="00EC2CE2" w:rsidRDefault="006D14CB">
                <w:pPr>
                  <w:spacing w:before="120" w:after="120" w:line="240" w:lineRule="auto"/>
                  <w:rPr>
                    <w:sz w:val="16"/>
                    <w:szCs w:val="16"/>
                  </w:rPr>
                </w:pPr>
                <w:r>
                  <w:rPr>
                    <w:sz w:val="16"/>
                    <w:szCs w:val="16"/>
                  </w:rPr>
                  <w:t>** Hitrost osveževanja zaslona je odvisna od uporabljene aplikacije in nekatere aplikacije morda ne podpirajo 120 Hz. Prilagodljiva hitrost osveževanja podpira do 120 Hz, ki po potrebi samodejno prilagodi gladkost gibanja, medtem ko standardna hitrost osveževanja podpira 120 Hz hitrost osveževanja zaslona.</w:t>
                </w:r>
              </w:p>
              <w:p w:rsidR="00EC2CE2" w:rsidRDefault="006D14CB">
                <w:pPr>
                  <w:spacing w:before="120" w:after="120" w:line="240" w:lineRule="auto"/>
                  <w:rPr>
                    <w:sz w:val="16"/>
                    <w:szCs w:val="16"/>
                  </w:rPr>
                </w:pPr>
                <w:r>
                  <w:rPr>
                    <w:sz w:val="16"/>
                    <w:szCs w:val="16"/>
                  </w:rPr>
                  <w:t>*** Občutljivost na dotik povečuje odzivnost usnjenih rokavic debeline 2 mm ali manj na podlagi rezultatov internih laboratorijskih testov. Naprave se lahko uporabljajo v mokrih okoljih, vendar ne popolnoma potopljene pod vodo. Dotik pod vodo ni na voljo. Odzivnost na dotik se lahko razlikuje glede na material in debelino rokavic ter druge okoljske pogoje.</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Operacijski sistem</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Android 15</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Mere</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170,2 x 242,9 x 10,2 mm (680 g (Wi-Fi), 683 g (5G)*)</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Teža se lahko razlikuje glede na trg.</w:t>
                </w:r>
              </w:p>
            </w:tc>
          </w:tr>
          <w:tr w:rsidR="00EC2CE2">
            <w:tc>
              <w:tcPr>
                <w:tcW w:w="965" w:type="dxa"/>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Kamera</w:t>
                </w:r>
              </w:p>
            </w:tc>
            <w:tc>
              <w:tcPr>
                <w:tcW w:w="647" w:type="dxa"/>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14"/>
                    <w:szCs w:val="14"/>
                  </w:rPr>
                </w:pPr>
                <w:r>
                  <w:rPr>
                    <w:b/>
                    <w:sz w:val="14"/>
                    <w:szCs w:val="14"/>
                  </w:rPr>
                  <w:t>zadnja</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12 MP (F1,8) široka, bliskavica</w:t>
                </w:r>
              </w:p>
            </w:tc>
          </w:tr>
          <w:tr w:rsidR="00EC2CE2">
            <w:tc>
              <w:tcPr>
                <w:tcW w:w="965" w:type="dxa"/>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647" w:type="dxa"/>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14"/>
                    <w:szCs w:val="14"/>
                  </w:rPr>
                </w:pPr>
                <w:r>
                  <w:rPr>
                    <w:b/>
                    <w:sz w:val="14"/>
                    <w:szCs w:val="14"/>
                  </w:rPr>
                  <w:t>sprednja</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8 MP (F2,0)</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Pomnilnik in spomin*</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6+128 GB/8+256 GB, microSD do 2TB**</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Dejanska razpoložljivost prostora za shranjevanje se lahko razlikuje glede na predhodno nameščeno programsko opremo in glede na trg, velikost ter obliko datoteke.</w:t>
                </w:r>
              </w:p>
              <w:p w:rsidR="00EC2CE2" w:rsidRDefault="006D14CB">
                <w:pPr>
                  <w:spacing w:before="120" w:after="120" w:line="240" w:lineRule="auto"/>
                  <w:rPr>
                    <w:sz w:val="16"/>
                    <w:szCs w:val="16"/>
                  </w:rPr>
                </w:pPr>
                <w:r>
                  <w:rPr>
                    <w:sz w:val="16"/>
                    <w:szCs w:val="16"/>
                  </w:rPr>
                  <w:t>** Kartica MicroSD je naprodaj ločeno.</w:t>
                </w:r>
              </w:p>
            </w:tc>
          </w:tr>
          <w:tr w:rsidR="00EC2CE2">
            <w:tc>
              <w:tcPr>
                <w:tcW w:w="1612" w:type="dxa"/>
                <w:gridSpan w:val="2"/>
                <w:vMerge w:val="restart"/>
                <w:tcBorders>
                  <w:top w:val="single" w:sz="4" w:space="0" w:color="000000"/>
                  <w:left w:val="nil"/>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Procesor</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Mobilna platforma Snapdragon</w:t>
                </w:r>
                <w:r>
                  <w:rPr>
                    <w:sz w:val="20"/>
                    <w:szCs w:val="20"/>
                    <w:vertAlign w:val="superscript"/>
                  </w:rPr>
                  <w:t>®</w:t>
                </w:r>
                <w:r>
                  <w:rPr>
                    <w:sz w:val="20"/>
                    <w:szCs w:val="20"/>
                  </w:rPr>
                  <w:t xml:space="preserve"> 7s Gen 3* (4nm osemjedrni)</w:t>
                </w:r>
              </w:p>
            </w:tc>
          </w:tr>
          <w:tr w:rsidR="00EC2CE2">
            <w:tc>
              <w:tcPr>
                <w:tcW w:w="1612" w:type="dxa"/>
                <w:gridSpan w:val="2"/>
                <w:vMerge/>
                <w:tcBorders>
                  <w:top w:val="single" w:sz="4" w:space="0" w:color="000000"/>
                  <w:left w:val="nil"/>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Snapdragon je blagovna znamka ali registrirana blagovna znamka družbe Qualcomm Incorporated. Snapdragon je izdelek družbe Qualcomm Technologies, Inc. in/ali njenih podružnic.</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Baterija****</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10.100mAh (tipična)*, zamenljiva s strani uporabnika**, Dual Hot-Swap***</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Tipična vrednost, preizkušena v laboratorijskih pogojih tretje osebe. Tipična vrednost je ocenjena povprečna vrednost ob upoštevanju odstopanja kapacitete baterije med vzorci baterij, testiranimi po standardih IEC 61960. Dejanska življenjska doba baterije se lahko razlikuje glede na omrežno okolje, vzorce uporabe in druge dejavnike.</w:t>
                </w:r>
              </w:p>
              <w:p w:rsidR="00EC2CE2" w:rsidRDefault="006D14CB">
                <w:pPr>
                  <w:spacing w:before="120" w:after="120" w:line="240" w:lineRule="auto"/>
                  <w:rPr>
                    <w:sz w:val="16"/>
                    <w:szCs w:val="16"/>
                  </w:rPr>
                </w:pPr>
                <w:r>
                  <w:rPr>
                    <w:sz w:val="16"/>
                    <w:szCs w:val="16"/>
                  </w:rPr>
                  <w:t>** Dodatna zamenljiva baterija in polnilna postaja POGO sta naprodaj ločeno. V primeru dodatnih zamenljivih baterij so za uporabo združljivi samo Samsung certificirani izdelki.</w:t>
                </w:r>
              </w:p>
              <w:p w:rsidR="00EC2CE2" w:rsidRDefault="006D14CB">
                <w:pPr>
                  <w:spacing w:before="120" w:after="120" w:line="240" w:lineRule="auto"/>
                  <w:rPr>
                    <w:sz w:val="16"/>
                    <w:szCs w:val="16"/>
                  </w:rPr>
                </w:pPr>
                <w:r>
                  <w:rPr>
                    <w:sz w:val="16"/>
                    <w:szCs w:val="16"/>
                  </w:rPr>
                  <w:t>*** Zamenjava baterije je omejena na eno baterijo naenkrat. Če baterijo odstranite, ko je naprava vklopljena, se zaslon izklopi, nekatere funkcije pa so lahko omejene. Po zamenjavi baterije se bo zaslon ponovno vklopil in vse funkcije bodo ponovno aktivirane.</w:t>
                </w:r>
              </w:p>
              <w:p w:rsidR="00EC2CE2" w:rsidRDefault="006D14CB">
                <w:pPr>
                  <w:spacing w:before="120" w:after="120" w:line="240" w:lineRule="auto"/>
                  <w:rPr>
                    <w:sz w:val="20"/>
                    <w:szCs w:val="20"/>
                  </w:rPr>
                </w:pPr>
                <w:r>
                  <w:rPr>
                    <w:sz w:val="16"/>
                    <w:szCs w:val="16"/>
                  </w:rPr>
                  <w:t>**** Polnilec je naprodaj ločeno. Polnilec je vključen samo v izbranih regijah, vključno s Severno Ameriko, Evropo in Latinsko Ameriko.</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Povezljivost**</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5G (Sub6)*, LTE, Wi-Fi 6E, Wi-Fi Direct, Bluetooth</w:t>
                </w:r>
                <w:r>
                  <w:rPr>
                    <w:sz w:val="20"/>
                    <w:szCs w:val="20"/>
                    <w:vertAlign w:val="superscript"/>
                  </w:rPr>
                  <w:t>®</w:t>
                </w:r>
                <w:r>
                  <w:rPr>
                    <w:sz w:val="20"/>
                    <w:szCs w:val="20"/>
                  </w:rPr>
                  <w:t xml:space="preserve"> v5.4, NFC (sprednje označevanje) </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Storitve 5G so podprte le na lokacijah, kjer je omogočeno omrežje 5G. Zahteva optimalno povezavo 5G.</w:t>
                </w:r>
              </w:p>
              <w:p w:rsidR="00EC2CE2" w:rsidRDefault="006D14CB">
                <w:pPr>
                  <w:spacing w:before="120" w:after="120" w:line="240" w:lineRule="auto"/>
                  <w:rPr>
                    <w:sz w:val="16"/>
                    <w:szCs w:val="16"/>
                  </w:rPr>
                </w:pPr>
                <w:r>
                  <w:rPr>
                    <w:sz w:val="16"/>
                    <w:szCs w:val="16"/>
                  </w:rPr>
                  <w:t>** Dejanska hitrost se lahko razlikuje glede na trg, operaterja, ponudnika vsebine in uporabniško okolje.</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SIM</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Dvojna SIM (pSIM + eSIM*)</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Razpoložljivost vgrajenih kartic SIM se razlikuje glede na trg.</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Vmesnik</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USB 3.2 Type-C, POGO Pin, 3,5 mm Audio Jack</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Senzorji</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 xml:space="preserve">Akcelerometer, žiroskop, geomagnetni, Hall, svetlobni RGB, bližine, prstni odtis </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GPS*</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GPS, GLONASS, Galileo, BeiDou, QZSS</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16"/>
                    <w:szCs w:val="16"/>
                  </w:rPr>
                  <w:t>* Vrsta razpoložljivosti GNSS se lahko razlikuje glede na trg. Pokritost sistemov Galileo in BeiDou je lahko omejena. BeiDou morda ne bo na voljo na nekaterih trgih.</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Robustna vzdržljivost</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IP68*, MIL-STD-810H**, steklo Corning</w:t>
                </w:r>
                <w:r>
                  <w:rPr>
                    <w:sz w:val="20"/>
                    <w:szCs w:val="20"/>
                    <w:vertAlign w:val="superscript"/>
                  </w:rPr>
                  <w:t>®</w:t>
                </w:r>
                <w:r>
                  <w:rPr>
                    <w:sz w:val="20"/>
                    <w:szCs w:val="20"/>
                  </w:rPr>
                  <w:t> Gorilla</w:t>
                </w:r>
                <w:r>
                  <w:rPr>
                    <w:sz w:val="20"/>
                    <w:szCs w:val="20"/>
                    <w:vertAlign w:val="superscript"/>
                  </w:rPr>
                  <w:t>®</w:t>
                </w:r>
                <w:r>
                  <w:rPr>
                    <w:sz w:val="20"/>
                    <w:szCs w:val="20"/>
                  </w:rPr>
                  <w:t xml:space="preserve"> Victus</w:t>
                </w:r>
                <w:r>
                  <w:rPr>
                    <w:sz w:val="20"/>
                    <w:szCs w:val="20"/>
                    <w:vertAlign w:val="superscript"/>
                  </w:rPr>
                  <w:t>®</w:t>
                </w:r>
                <w:r>
                  <w:rPr>
                    <w:sz w:val="20"/>
                    <w:szCs w:val="20"/>
                  </w:rPr>
                  <w:t>+, preizkušeno za razkužila***</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IP6X: Test penetracije prahu (velikost manj kot 50umx70um) v protiprašni komori</w:t>
                </w:r>
                <w:r>
                  <w:rPr>
                    <w:sz w:val="16"/>
                    <w:szCs w:val="16"/>
                  </w:rPr>
                  <w:br/>
                  <w:t>* IPX8: potopitev v sladko vodo do globine 1,5 metra za največ 30 minut</w:t>
                </w:r>
              </w:p>
              <w:p w:rsidR="00EC2CE2" w:rsidRDefault="006D14CB">
                <w:pPr>
                  <w:spacing w:before="120" w:after="120" w:line="240" w:lineRule="auto"/>
                  <w:rPr>
                    <w:sz w:val="16"/>
                    <w:szCs w:val="16"/>
                  </w:rPr>
                </w:pPr>
                <w:r>
                  <w:rPr>
                    <w:sz w:val="16"/>
                    <w:szCs w:val="16"/>
                  </w:rPr>
                  <w:t>** MIL-STD-810H: Testiranje v posebnih okoljskih pogojih, vključno z nadmorsko višino, vlažnostjo, potopitvijo, slano meglo, prahom, vibracijami, padcem itd. MIL-STD-810H je standardizirana oblika testiranja, ki jo je zasnovala ameriška vojska za natančno oceno omejitev naprave. Dejanska uporaba se lahko razlikuje glede na posebne okoljske pogoje, ki so bili uporabljeni pri testiranju. Ekstremni pogoji niso zagotovljeni. Specifikacije testov se razlikujejo glede na napravo.</w:t>
                </w:r>
              </w:p>
              <w:p w:rsidR="00EC2CE2" w:rsidRDefault="006D14CB">
                <w:pPr>
                  <w:spacing w:before="120" w:after="120" w:line="240" w:lineRule="auto"/>
                  <w:rPr>
                    <w:sz w:val="16"/>
                    <w:szCs w:val="16"/>
                  </w:rPr>
                </w:pPr>
                <w:r>
                  <w:rPr>
                    <w:sz w:val="16"/>
                    <w:szCs w:val="16"/>
                  </w:rPr>
                  <w:t>*** Preizkušena razkužila: Klorox (klorovodikovo belilo), Medilox HCIO, tekoči etanol, etanolni bombaž</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Zvok</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Dolby Atmos</w:t>
                </w:r>
                <w:r>
                  <w:rPr>
                    <w:sz w:val="20"/>
                    <w:szCs w:val="20"/>
                    <w:vertAlign w:val="superscript"/>
                  </w:rPr>
                  <w:t>®</w:t>
                </w:r>
                <w:r>
                  <w:rPr>
                    <w:sz w:val="20"/>
                    <w:szCs w:val="20"/>
                  </w:rPr>
                  <w:t xml:space="preserve">, stereo (2 zvočnika) </w:t>
                </w:r>
              </w:p>
            </w:tc>
          </w:tr>
          <w:tr w:rsidR="00EC2CE2">
            <w:tc>
              <w:tcPr>
                <w:tcW w:w="1612" w:type="dxa"/>
                <w:gridSpan w:val="2"/>
                <w:vMerge w:val="restart"/>
                <w:tcBorders>
                  <w:top w:val="single" w:sz="4" w:space="0" w:color="000000"/>
                  <w:left w:val="nil"/>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lastRenderedPageBreak/>
                  <w:t>Pisalo</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S Pen (IP68*, priloženo)</w:t>
                </w:r>
              </w:p>
            </w:tc>
          </w:tr>
          <w:tr w:rsidR="00EC2CE2">
            <w:tc>
              <w:tcPr>
                <w:tcW w:w="1612" w:type="dxa"/>
                <w:gridSpan w:val="2"/>
                <w:vMerge/>
                <w:tcBorders>
                  <w:top w:val="single" w:sz="4" w:space="0" w:color="000000"/>
                  <w:left w:val="nil"/>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16"/>
                    <w:szCs w:val="16"/>
                  </w:rPr>
                </w:pPr>
                <w:r>
                  <w:rPr>
                    <w:sz w:val="16"/>
                    <w:szCs w:val="16"/>
                  </w:rPr>
                  <w:t>* Stopnja zaščite IP68: odpornost na vodo in prah, ki temelji na laboratorijskih preskusnih pogojih za potopitev v sladko vodo do globine 1,5 metra za največ 30 minut. Sperite in sušite po zmočenju. Ni priporočljivo za uporabo na plaži ali ob bazenu. Odpornost pisala S Pen na vodo in prah ni trajna in se lahko sčasoma zmanjša zaradi običajne obrabe. Pred uporabo ali pritrditvijo na tablični računalnik odstranite odvečno vodo s pisala S Pen s suho krpo ali brisačo.</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Varnost</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Samsung Knox with Samsung Knox Vault, eSE</w:t>
                </w:r>
              </w:p>
            </w:tc>
          </w:tr>
          <w:tr w:rsidR="00EC2CE2">
            <w:tc>
              <w:tcPr>
                <w:tcW w:w="1612" w:type="dxa"/>
                <w:gridSpan w:val="2"/>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Biometrična avtentikacija</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Prepoznava obraza, prstni odtis</w:t>
                </w:r>
              </w:p>
            </w:tc>
          </w:tr>
          <w:tr w:rsidR="00EC2CE2">
            <w:tc>
              <w:tcPr>
                <w:tcW w:w="1612" w:type="dxa"/>
                <w:gridSpan w:val="2"/>
                <w:vMerge w:val="restart"/>
                <w:tcBorders>
                  <w:top w:val="single" w:sz="4" w:space="0" w:color="000000"/>
                  <w:left w:val="nil"/>
                  <w:bottom w:val="single" w:sz="4" w:space="0" w:color="000000"/>
                  <w:right w:val="nil"/>
                </w:tcBorders>
                <w:shd w:val="clear" w:color="auto" w:fill="E7E6E6"/>
                <w:vAlign w:val="center"/>
              </w:tcPr>
              <w:p w:rsidR="00EC2CE2" w:rsidRDefault="006D14CB">
                <w:pPr>
                  <w:spacing w:before="120" w:after="120" w:line="240" w:lineRule="auto"/>
                  <w:jc w:val="center"/>
                  <w:rPr>
                    <w:b/>
                    <w:sz w:val="20"/>
                    <w:szCs w:val="20"/>
                  </w:rPr>
                </w:pPr>
                <w:r>
                  <w:rPr>
                    <w:b/>
                    <w:sz w:val="20"/>
                    <w:szCs w:val="20"/>
                  </w:rPr>
                  <w:t>Programabilne tipke</w:t>
                </w:r>
              </w:p>
            </w:tc>
            <w:tc>
              <w:tcPr>
                <w:tcW w:w="8118" w:type="dxa"/>
                <w:tcBorders>
                  <w:top w:val="single" w:sz="4" w:space="0" w:color="000000"/>
                  <w:left w:val="nil"/>
                  <w:bottom w:val="single" w:sz="4" w:space="0" w:color="000000"/>
                  <w:right w:val="nil"/>
                </w:tcBorders>
                <w:shd w:val="clear" w:color="auto" w:fill="auto"/>
                <w:vAlign w:val="center"/>
              </w:tcPr>
              <w:p w:rsidR="00EC2CE2" w:rsidRDefault="006D14CB">
                <w:pPr>
                  <w:spacing w:before="120" w:after="120" w:line="240" w:lineRule="auto"/>
                  <w:rPr>
                    <w:sz w:val="20"/>
                    <w:szCs w:val="20"/>
                  </w:rPr>
                </w:pPr>
                <w:r>
                  <w:rPr>
                    <w:sz w:val="20"/>
                    <w:szCs w:val="20"/>
                  </w:rPr>
                  <w:t>Customization via Active Key*</w:t>
                </w:r>
              </w:p>
            </w:tc>
          </w:tr>
          <w:tr w:rsidR="00EC2CE2">
            <w:tc>
              <w:tcPr>
                <w:tcW w:w="1612" w:type="dxa"/>
                <w:gridSpan w:val="2"/>
                <w:vMerge/>
                <w:tcBorders>
                  <w:top w:val="single" w:sz="4" w:space="0" w:color="000000"/>
                  <w:left w:val="nil"/>
                  <w:bottom w:val="single" w:sz="4" w:space="0" w:color="000000"/>
                  <w:right w:val="nil"/>
                </w:tcBorders>
                <w:shd w:val="clear" w:color="auto" w:fill="E7E6E6"/>
                <w:vAlign w:val="center"/>
              </w:tcPr>
              <w:p w:rsidR="00EC2CE2" w:rsidRDefault="00EC2CE2">
                <w:pPr>
                  <w:widowControl w:val="0"/>
                  <w:pBdr>
                    <w:top w:val="nil"/>
                    <w:left w:val="nil"/>
                    <w:bottom w:val="nil"/>
                    <w:right w:val="nil"/>
                    <w:between w:val="nil"/>
                  </w:pBdr>
                  <w:rPr>
                    <w:sz w:val="20"/>
                    <w:szCs w:val="20"/>
                  </w:rPr>
                </w:pPr>
              </w:p>
            </w:tc>
            <w:tc>
              <w:tcPr>
                <w:tcW w:w="8118" w:type="dxa"/>
                <w:tcBorders>
                  <w:top w:val="single" w:sz="4" w:space="0" w:color="000000"/>
                  <w:left w:val="nil"/>
                  <w:bottom w:val="nil"/>
                  <w:right w:val="nil"/>
                </w:tcBorders>
                <w:shd w:val="clear" w:color="auto" w:fill="auto"/>
                <w:vAlign w:val="center"/>
              </w:tcPr>
              <w:p w:rsidR="00EC2CE2" w:rsidRDefault="006D14CB">
                <w:pPr>
                  <w:spacing w:before="120" w:after="120" w:line="240" w:lineRule="auto"/>
                  <w:rPr>
                    <w:sz w:val="20"/>
                    <w:szCs w:val="20"/>
                  </w:rPr>
                </w:pPr>
                <w:r>
                  <w:rPr>
                    <w:sz w:val="16"/>
                    <w:szCs w:val="16"/>
                  </w:rPr>
                  <w:t xml:space="preserve">* Podpora za kartiranje ključev se lahko razlikuje glede na aplikacijo. Programabilne tipke so omejene na izbrane funkcije. </w:t>
                </w:r>
              </w:p>
            </w:tc>
          </w:tr>
        </w:tbl>
      </w:sdtContent>
    </w:sdt>
    <w:p w:rsidR="00EC2CE2" w:rsidRDefault="006D14CB">
      <w:pPr>
        <w:spacing w:before="120" w:after="120" w:line="240" w:lineRule="auto"/>
        <w:rPr>
          <w:sz w:val="20"/>
          <w:szCs w:val="20"/>
        </w:rPr>
      </w:pPr>
      <w:r>
        <w:rPr>
          <w:sz w:val="20"/>
          <w:szCs w:val="20"/>
        </w:rPr>
        <w:t>*Specifikacije se lahko razlikujejo glede na trg.</w:t>
      </w:r>
      <w:r>
        <w:rPr>
          <w:sz w:val="20"/>
          <w:szCs w:val="20"/>
        </w:rPr>
        <w:br/>
        <w:t>*Funkcionalnost, funkcije, specifikacije in druge informacije o izdelku, navedene v tem dokumentu, med drugim vključno s prednostmi, zasnovo, cenami, sestavnimi deli, zmogljivostjo, razpoložljivostjo in zmogljivostmi izdelka, se lahko spremenijo brez predhodnega obvestila.</w:t>
      </w:r>
    </w:p>
    <w:p w:rsidR="00EC2CE2" w:rsidRDefault="00EC2CE2">
      <w:pPr>
        <w:widowControl w:val="0"/>
        <w:jc w:val="both"/>
        <w:rPr>
          <w:sz w:val="20"/>
          <w:szCs w:val="20"/>
        </w:rPr>
      </w:pPr>
    </w:p>
    <w:sectPr w:rsidR="00EC2CE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6D70" w:rsidRDefault="00E46D70">
      <w:pPr>
        <w:spacing w:line="240" w:lineRule="auto"/>
      </w:pPr>
      <w:r>
        <w:separator/>
      </w:r>
    </w:p>
  </w:endnote>
  <w:endnote w:type="continuationSeparator" w:id="0">
    <w:p w:rsidR="00E46D70" w:rsidRDefault="00E46D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6D70" w:rsidRDefault="00E46D70">
      <w:pPr>
        <w:spacing w:line="240" w:lineRule="auto"/>
      </w:pPr>
      <w:r>
        <w:separator/>
      </w:r>
    </w:p>
  </w:footnote>
  <w:footnote w:type="continuationSeparator" w:id="0">
    <w:p w:rsidR="00E46D70" w:rsidRDefault="00E46D7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CE2"/>
    <w:rsid w:val="002034F4"/>
    <w:rsid w:val="005F4840"/>
    <w:rsid w:val="006D14CB"/>
    <w:rsid w:val="00E46D70"/>
    <w:rsid w:val="00EC2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C4216C-220C-4605-BB01-6A1F16F44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sl"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00" w:after="120"/>
      <w:outlineLvl w:val="0"/>
    </w:pPr>
    <w:rPr>
      <w:sz w:val="40"/>
      <w:szCs w:val="40"/>
    </w:rPr>
  </w:style>
  <w:style w:type="paragraph" w:styleId="Naslov2">
    <w:name w:val="heading 2"/>
    <w:basedOn w:val="Navaden"/>
    <w:next w:val="Navaden"/>
    <w:uiPriority w:val="9"/>
    <w:semiHidden/>
    <w:unhideWhenUsed/>
    <w:qFormat/>
    <w:pPr>
      <w:keepNext/>
      <w:keepLines/>
      <w:spacing w:before="360" w:after="120"/>
      <w:outlineLvl w:val="1"/>
    </w:pPr>
    <w:rPr>
      <w:sz w:val="32"/>
      <w:szCs w:val="32"/>
    </w:rPr>
  </w:style>
  <w:style w:type="paragraph" w:styleId="Naslov3">
    <w:name w:val="heading 3"/>
    <w:basedOn w:val="Navaden"/>
    <w:next w:val="Navaden"/>
    <w:uiPriority w:val="9"/>
    <w:semiHidden/>
    <w:unhideWhenUsed/>
    <w:qFormat/>
    <w:pPr>
      <w:keepNext/>
      <w:keepLines/>
      <w:spacing w:before="320" w:after="80"/>
      <w:outlineLvl w:val="2"/>
    </w:pPr>
    <w:rPr>
      <w:color w:val="434343"/>
      <w:sz w:val="28"/>
      <w:szCs w:val="28"/>
    </w:rPr>
  </w:style>
  <w:style w:type="paragraph" w:styleId="Naslov4">
    <w:name w:val="heading 4"/>
    <w:basedOn w:val="Navaden"/>
    <w:next w:val="Navaden"/>
    <w:uiPriority w:val="9"/>
    <w:semiHidden/>
    <w:unhideWhenUsed/>
    <w:qFormat/>
    <w:pPr>
      <w:keepNext/>
      <w:keepLines/>
      <w:spacing w:before="280" w:after="80"/>
      <w:outlineLvl w:val="3"/>
    </w:pPr>
    <w:rPr>
      <w:color w:val="666666"/>
      <w:sz w:val="24"/>
      <w:szCs w:val="24"/>
    </w:rPr>
  </w:style>
  <w:style w:type="paragraph" w:styleId="Naslov5">
    <w:name w:val="heading 5"/>
    <w:basedOn w:val="Navaden"/>
    <w:next w:val="Navaden"/>
    <w:uiPriority w:val="9"/>
    <w:semiHidden/>
    <w:unhideWhenUsed/>
    <w:qFormat/>
    <w:pPr>
      <w:keepNext/>
      <w:keepLines/>
      <w:spacing w:before="240" w:after="80"/>
      <w:outlineLvl w:val="4"/>
    </w:pPr>
    <w:rPr>
      <w:color w:val="666666"/>
    </w:rPr>
  </w:style>
  <w:style w:type="paragraph" w:styleId="Naslov6">
    <w:name w:val="heading 6"/>
    <w:basedOn w:val="Navaden"/>
    <w:next w:val="Navaden"/>
    <w:uiPriority w:val="9"/>
    <w:semiHidden/>
    <w:unhideWhenUsed/>
    <w:qFormat/>
    <w:pPr>
      <w:keepNext/>
      <w:keepLines/>
      <w:spacing w:before="240" w:after="80"/>
      <w:outlineLvl w:val="5"/>
    </w:pPr>
    <w:rPr>
      <w:i/>
      <w:color w:val="66666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uiPriority w:val="10"/>
    <w:qFormat/>
    <w:pPr>
      <w:keepNext/>
      <w:keepLines/>
      <w:spacing w:after="60"/>
    </w:pPr>
    <w:rPr>
      <w:sz w:val="52"/>
      <w:szCs w:val="52"/>
    </w:rPr>
  </w:style>
  <w:style w:type="paragraph" w:styleId="Podnaslov">
    <w:name w:val="Subtitle"/>
    <w:basedOn w:val="Navaden"/>
    <w:next w:val="Navaden"/>
    <w:uiPriority w:val="11"/>
    <w:qFormat/>
    <w:pPr>
      <w:keepNext/>
      <w:keepLines/>
      <w:spacing w:after="320"/>
    </w:pPr>
    <w:rPr>
      <w:color w:val="666666"/>
      <w:sz w:val="30"/>
      <w:szCs w:val="30"/>
    </w:rPr>
  </w:style>
  <w:style w:type="table" w:customStyle="1" w:styleId="a">
    <w:basedOn w:val="Navadnatabela"/>
    <w:pPr>
      <w:spacing w:line="240" w:lineRule="auto"/>
    </w:pPr>
    <w:tblPr>
      <w:tblStyleRowBandSize w:val="1"/>
      <w:tblStyleColBandSize w:val="1"/>
    </w:tblPr>
  </w:style>
  <w:style w:type="table" w:customStyle="1" w:styleId="a0">
    <w:basedOn w:val="Navadnatabela"/>
    <w:pPr>
      <w:spacing w:line="240" w:lineRule="auto"/>
    </w:pPr>
    <w:tblPr>
      <w:tblStyleRowBandSize w:val="1"/>
      <w:tblStyleColBandSize w:val="1"/>
    </w:tblPr>
  </w:style>
  <w:style w:type="table" w:customStyle="1" w:styleId="a1">
    <w:basedOn w:val="Navadnatabela"/>
    <w:pPr>
      <w:spacing w:line="240" w:lineRule="auto"/>
    </w:pPr>
    <w:tblPr>
      <w:tblStyleRowBandSize w:val="1"/>
      <w:tblStyleColBandSize w:val="1"/>
    </w:tblPr>
  </w:style>
  <w:style w:type="table" w:customStyle="1" w:styleId="a2">
    <w:basedOn w:val="Navadnatabela"/>
    <w:tblPr>
      <w:tblStyleRowBandSize w:val="1"/>
      <w:tblStyleColBandSize w:val="1"/>
      <w:tblCellMar>
        <w:top w:w="100" w:type="dxa"/>
        <w:left w:w="100" w:type="dxa"/>
        <w:bottom w:w="100" w:type="dxa"/>
        <w:right w:w="100" w:type="dxa"/>
      </w:tblCellMar>
    </w:tblPr>
  </w:style>
  <w:style w:type="character" w:styleId="Pripombasklic">
    <w:name w:val="annotation reference"/>
    <w:basedOn w:val="Privzetapisavaodstavka"/>
    <w:uiPriority w:val="99"/>
    <w:semiHidden/>
    <w:unhideWhenUsed/>
    <w:rsid w:val="00903542"/>
    <w:rPr>
      <w:sz w:val="16"/>
      <w:szCs w:val="16"/>
    </w:rPr>
  </w:style>
  <w:style w:type="paragraph" w:styleId="Pripombabesedilo">
    <w:name w:val="annotation text"/>
    <w:basedOn w:val="Navaden"/>
    <w:link w:val="PripombabesediloZnak"/>
    <w:uiPriority w:val="99"/>
    <w:semiHidden/>
    <w:unhideWhenUsed/>
    <w:rsid w:val="00903542"/>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903542"/>
    <w:rPr>
      <w:sz w:val="20"/>
      <w:szCs w:val="20"/>
    </w:rPr>
  </w:style>
  <w:style w:type="paragraph" w:styleId="Zadevapripombe">
    <w:name w:val="annotation subject"/>
    <w:basedOn w:val="Pripombabesedilo"/>
    <w:next w:val="Pripombabesedilo"/>
    <w:link w:val="ZadevapripombeZnak"/>
    <w:uiPriority w:val="99"/>
    <w:semiHidden/>
    <w:unhideWhenUsed/>
    <w:rsid w:val="00903542"/>
    <w:rPr>
      <w:b/>
      <w:bCs/>
    </w:rPr>
  </w:style>
  <w:style w:type="character" w:customStyle="1" w:styleId="ZadevapripombeZnak">
    <w:name w:val="Zadeva pripombe Znak"/>
    <w:basedOn w:val="PripombabesediloZnak"/>
    <w:link w:val="Zadevapripombe"/>
    <w:uiPriority w:val="99"/>
    <w:semiHidden/>
    <w:rsid w:val="00903542"/>
    <w:rPr>
      <w:b/>
      <w:bCs/>
      <w:sz w:val="20"/>
      <w:szCs w:val="20"/>
    </w:rPr>
  </w:style>
  <w:style w:type="paragraph" w:styleId="Besedilooblaka">
    <w:name w:val="Balloon Text"/>
    <w:basedOn w:val="Navaden"/>
    <w:link w:val="BesedilooblakaZnak"/>
    <w:uiPriority w:val="99"/>
    <w:semiHidden/>
    <w:unhideWhenUsed/>
    <w:rsid w:val="00903542"/>
    <w:pPr>
      <w:spacing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903542"/>
    <w:rPr>
      <w:rFonts w:ascii="Segoe UI" w:hAnsi="Segoe UI" w:cs="Segoe UI"/>
      <w:sz w:val="18"/>
      <w:szCs w:val="18"/>
    </w:rPr>
  </w:style>
  <w:style w:type="table" w:customStyle="1" w:styleId="a3">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a">
    <w:basedOn w:val="Navadnatabela"/>
    <w:pPr>
      <w:spacing w:line="240" w:lineRule="auto"/>
    </w:pPr>
    <w:tblPr>
      <w:tblStyleRowBandSize w:val="1"/>
      <w:tblStyleColBandSize w:val="1"/>
      <w:tblCellMar>
        <w:top w:w="100" w:type="dxa"/>
        <w:left w:w="100" w:type="dxa"/>
        <w:bottom w:w="100" w:type="dxa"/>
        <w:right w:w="100" w:type="dxa"/>
      </w:tblCellMar>
    </w:tblPr>
  </w:style>
  <w:style w:type="paragraph" w:styleId="Odstavekseznama">
    <w:name w:val="List Paragraph"/>
    <w:basedOn w:val="Navaden"/>
    <w:uiPriority w:val="34"/>
    <w:qFormat/>
    <w:rsid w:val="003F0BF1"/>
    <w:pPr>
      <w:ind w:left="720"/>
      <w:contextualSpacing/>
    </w:pPr>
  </w:style>
  <w:style w:type="character" w:styleId="Hiperpovezava">
    <w:name w:val="Hyperlink"/>
    <w:basedOn w:val="Privzetapisavaodstavka"/>
    <w:uiPriority w:val="99"/>
    <w:unhideWhenUsed/>
    <w:rsid w:val="004D4404"/>
    <w:rPr>
      <w:color w:val="0000FF" w:themeColor="hyperlink"/>
      <w:u w:val="single"/>
    </w:rPr>
  </w:style>
  <w:style w:type="table" w:customStyle="1" w:styleId="ab">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c">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d">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e">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0">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1">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2">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3">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4">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5">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6">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7">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8">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9">
    <w:basedOn w:val="Navadnatabela"/>
    <w:pPr>
      <w:spacing w:line="240" w:lineRule="auto"/>
    </w:pPr>
    <w:tblPr>
      <w:tblStyleRowBandSize w:val="1"/>
      <w:tblStyleColBandSize w:val="1"/>
    </w:tblPr>
  </w:style>
  <w:style w:type="table" w:customStyle="1" w:styleId="afa">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b">
    <w:basedOn w:val="Navadnatabela"/>
    <w:pPr>
      <w:spacing w:line="240" w:lineRule="auto"/>
    </w:pPr>
    <w:tblPr>
      <w:tblStyleRowBandSize w:val="1"/>
      <w:tblStyleColBandSize w:val="1"/>
    </w:tblPr>
  </w:style>
  <w:style w:type="table" w:customStyle="1" w:styleId="afc">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d">
    <w:basedOn w:val="Navadnatabela"/>
    <w:pPr>
      <w:spacing w:line="240" w:lineRule="auto"/>
    </w:pPr>
    <w:tblPr>
      <w:tblStyleRowBandSize w:val="1"/>
      <w:tblStyleColBandSize w:val="1"/>
    </w:tblPr>
  </w:style>
  <w:style w:type="table" w:customStyle="1" w:styleId="afe">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
    <w:basedOn w:val="Navadnatabela"/>
    <w:pPr>
      <w:spacing w:line="240" w:lineRule="auto"/>
    </w:pPr>
    <w:tblPr>
      <w:tblStyleRowBandSize w:val="1"/>
      <w:tblStyleColBandSize w:val="1"/>
    </w:tblPr>
  </w:style>
  <w:style w:type="table" w:customStyle="1" w:styleId="aff0">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1">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7">
    <w:basedOn w:val="Navadnatabela"/>
    <w:tblPr>
      <w:tblStyleRowBandSize w:val="1"/>
      <w:tblStyleColBandSize w:val="1"/>
      <w:tblCellMar>
        <w:left w:w="0" w:type="dxa"/>
        <w:right w:w="0" w:type="dxa"/>
      </w:tblCellMar>
    </w:tblPr>
  </w:style>
  <w:style w:type="table" w:customStyle="1" w:styleId="aff8">
    <w:basedOn w:val="Navadnatabela"/>
    <w:tblPr>
      <w:tblStyleRowBandSize w:val="1"/>
      <w:tblStyleColBandSize w:val="1"/>
      <w:tblCellMar>
        <w:left w:w="0" w:type="dxa"/>
        <w:right w:w="0" w:type="dxa"/>
      </w:tblCellMar>
    </w:tblPr>
  </w:style>
  <w:style w:type="table" w:customStyle="1" w:styleId="aff9">
    <w:basedOn w:val="Navadnatabela"/>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Navadnatabela"/>
    <w:tblPr>
      <w:tblStyleRowBandSize w:val="1"/>
      <w:tblStyleColBandSize w:val="1"/>
      <w:tblCellMar>
        <w:left w:w="0" w:type="dxa"/>
        <w:right w:w="0" w:type="dxa"/>
      </w:tblCellMar>
    </w:tblPr>
  </w:style>
  <w:style w:type="table" w:customStyle="1" w:styleId="affb">
    <w:basedOn w:val="Navadnatabela"/>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amjan@milleniumpromocija.si"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by2vJA+Qzdhvr06DtND6B3QuYg==">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1475</Words>
  <Characters>8412</Characters>
  <Application>Microsoft Office Word</Application>
  <DocSecurity>0</DocSecurity>
  <Lines>70</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Samsung</Company>
  <LinksUpToDate>false</LinksUpToDate>
  <CharactersWithSpaces>9868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Kaja Kosec/PR Unit /SEAD/Professional/Samsung Electronics</dc:creator>
  <cp:lastModifiedBy>Marko</cp:lastModifiedBy>
  <cp:revision>2</cp:revision>
  <dcterms:created xsi:type="dcterms:W3CDTF">2025-04-15T02:45:00Z</dcterms:created>
  <dcterms:modified xsi:type="dcterms:W3CDTF">2025-04-15T02:45:00Z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